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E1F11D">
      <w:pPr>
        <w:tabs>
          <w:tab w:val="left" w:pos="4830"/>
        </w:tabs>
        <w:adjustRightInd w:val="0"/>
        <w:spacing w:before="120" w:after="120" w:line="360" w:lineRule="auto"/>
        <w:jc w:val="left"/>
        <w:textAlignment w:val="baseline"/>
        <w:rPr>
          <w:rFonts w:hint="eastAsia" w:ascii="仿宋" w:hAnsi="仿宋" w:eastAsia="仿宋" w:cs="仿宋"/>
          <w:b/>
          <w:bCs/>
          <w:kern w:val="0"/>
          <w:sz w:val="84"/>
          <w:szCs w:val="24"/>
        </w:rPr>
      </w:pPr>
    </w:p>
    <w:p w14:paraId="0C389B18">
      <w:pPr>
        <w:adjustRightInd w:val="0"/>
        <w:spacing w:before="120" w:after="120" w:line="360" w:lineRule="auto"/>
        <w:jc w:val="center"/>
        <w:textAlignment w:val="baseline"/>
        <w:outlineLvl w:val="0"/>
        <w:rPr>
          <w:rFonts w:hint="eastAsia" w:ascii="仿宋" w:hAnsi="仿宋" w:eastAsia="仿宋" w:cs="仿宋"/>
          <w:b/>
          <w:bCs/>
          <w:kern w:val="0"/>
          <w:sz w:val="84"/>
          <w:szCs w:val="24"/>
        </w:rPr>
      </w:pPr>
      <w:bookmarkStart w:id="0" w:name="_Toc28998"/>
      <w:bookmarkStart w:id="1" w:name="_Toc15109"/>
      <w:bookmarkStart w:id="2" w:name="_Toc10112"/>
      <w:r>
        <w:rPr>
          <w:rFonts w:hint="eastAsia" w:ascii="仿宋" w:hAnsi="仿宋" w:eastAsia="仿宋" w:cs="仿宋"/>
          <w:b/>
          <w:bCs/>
          <w:kern w:val="0"/>
          <w:sz w:val="84"/>
          <w:szCs w:val="24"/>
          <w:lang w:val="en-US" w:eastAsia="zh-CN"/>
        </w:rPr>
        <w:t xml:space="preserve"> </w:t>
      </w:r>
      <w:r>
        <w:rPr>
          <w:rFonts w:hint="eastAsia" w:ascii="仿宋" w:hAnsi="仿宋" w:eastAsia="仿宋" w:cs="仿宋"/>
          <w:b/>
          <w:bCs/>
          <w:kern w:val="0"/>
          <w:sz w:val="84"/>
          <w:szCs w:val="24"/>
        </w:rPr>
        <w:t>竞争性磋商文件</w:t>
      </w:r>
      <w:bookmarkEnd w:id="0"/>
      <w:bookmarkEnd w:id="1"/>
      <w:bookmarkEnd w:id="2"/>
    </w:p>
    <w:p w14:paraId="53F07360">
      <w:pPr>
        <w:adjustRightInd w:val="0"/>
        <w:spacing w:before="120" w:after="120" w:line="360" w:lineRule="auto"/>
        <w:jc w:val="center"/>
        <w:textAlignment w:val="baseline"/>
        <w:rPr>
          <w:rFonts w:hint="eastAsia" w:ascii="仿宋" w:hAnsi="仿宋" w:eastAsia="仿宋" w:cs="仿宋"/>
          <w:b/>
          <w:bCs/>
          <w:kern w:val="0"/>
          <w:sz w:val="32"/>
          <w:szCs w:val="24"/>
          <w:lang w:val="en-US" w:eastAsia="zh-CN"/>
        </w:rPr>
      </w:pPr>
      <w:r>
        <w:rPr>
          <w:rFonts w:hint="eastAsia" w:ascii="仿宋" w:hAnsi="仿宋" w:eastAsia="仿宋" w:cs="仿宋"/>
          <w:b/>
          <w:bCs/>
          <w:kern w:val="0"/>
          <w:sz w:val="32"/>
          <w:szCs w:val="24"/>
          <w:lang w:val="en-US" w:eastAsia="zh-CN"/>
        </w:rPr>
        <w:t xml:space="preserve">     </w:t>
      </w:r>
    </w:p>
    <w:p w14:paraId="491CA01B">
      <w:pPr>
        <w:adjustRightInd w:val="0"/>
        <w:spacing w:before="120" w:after="120" w:line="360" w:lineRule="auto"/>
        <w:jc w:val="center"/>
        <w:textAlignment w:val="baseline"/>
        <w:rPr>
          <w:rFonts w:hint="eastAsia" w:ascii="仿宋" w:hAnsi="仿宋" w:eastAsia="仿宋" w:cs="仿宋"/>
          <w:b/>
          <w:bCs/>
          <w:kern w:val="0"/>
          <w:sz w:val="32"/>
          <w:szCs w:val="24"/>
          <w:lang w:val="en-US" w:eastAsia="zh-CN"/>
        </w:rPr>
      </w:pPr>
    </w:p>
    <w:p w14:paraId="61688642">
      <w:pPr>
        <w:adjustRightInd w:val="0"/>
        <w:spacing w:before="120" w:after="120" w:line="360" w:lineRule="auto"/>
        <w:jc w:val="center"/>
        <w:textAlignment w:val="baseline"/>
        <w:rPr>
          <w:rFonts w:hint="eastAsia" w:ascii="仿宋" w:hAnsi="仿宋" w:eastAsia="仿宋" w:cs="仿宋"/>
          <w:b/>
          <w:bCs/>
          <w:kern w:val="0"/>
          <w:sz w:val="32"/>
          <w:szCs w:val="24"/>
          <w:lang w:val="en-US" w:eastAsia="zh-CN"/>
        </w:rPr>
      </w:pPr>
    </w:p>
    <w:p w14:paraId="5EE8F04F">
      <w:pPr>
        <w:adjustRightInd w:val="0"/>
        <w:spacing w:before="120" w:after="120" w:line="360" w:lineRule="auto"/>
        <w:ind w:firstLine="964" w:firstLineChars="300"/>
        <w:jc w:val="both"/>
        <w:textAlignment w:val="baseline"/>
        <w:rPr>
          <w:rFonts w:hint="eastAsia" w:ascii="仿宋" w:hAnsi="仿宋" w:eastAsia="仿宋" w:cs="仿宋"/>
          <w:b/>
          <w:bCs/>
          <w:kern w:val="0"/>
          <w:sz w:val="32"/>
          <w:szCs w:val="24"/>
          <w:u w:val="single"/>
        </w:rPr>
      </w:pPr>
      <w:r>
        <w:rPr>
          <w:rFonts w:hint="eastAsia" w:ascii="仿宋" w:hAnsi="仿宋" w:eastAsia="仿宋" w:cs="仿宋"/>
          <w:b/>
          <w:bCs/>
          <w:kern w:val="0"/>
          <w:sz w:val="32"/>
          <w:szCs w:val="24"/>
        </w:rPr>
        <w:t>项目名称：</w:t>
      </w:r>
      <w:r>
        <w:rPr>
          <w:rFonts w:hint="eastAsia" w:ascii="仿宋" w:hAnsi="仿宋" w:eastAsia="仿宋" w:cs="仿宋"/>
          <w:b/>
          <w:bCs/>
          <w:kern w:val="0"/>
          <w:sz w:val="32"/>
          <w:szCs w:val="24"/>
          <w:lang w:val="en-US" w:eastAsia="zh-CN"/>
        </w:rPr>
        <w:t xml:space="preserve">  </w:t>
      </w:r>
      <w:r>
        <w:rPr>
          <w:rFonts w:hint="eastAsia" w:ascii="仿宋" w:hAnsi="仿宋" w:eastAsia="仿宋" w:cs="仿宋"/>
          <w:b/>
          <w:bCs/>
          <w:kern w:val="0"/>
          <w:sz w:val="32"/>
          <w:szCs w:val="24"/>
          <w:u w:val="single"/>
        </w:rPr>
        <w:t>如东县公安局县局食堂餐饮服务项目</w:t>
      </w:r>
    </w:p>
    <w:p w14:paraId="24D6CB20">
      <w:pPr>
        <w:adjustRightInd w:val="0"/>
        <w:spacing w:before="120" w:after="120" w:line="360" w:lineRule="auto"/>
        <w:ind w:firstLine="964" w:firstLineChars="300"/>
        <w:jc w:val="both"/>
        <w:textAlignment w:val="baseline"/>
        <w:outlineLvl w:val="0"/>
        <w:rPr>
          <w:rFonts w:hint="default" w:ascii="仿宋" w:hAnsi="仿宋" w:eastAsia="仿宋" w:cs="仿宋"/>
          <w:b/>
          <w:bCs/>
          <w:kern w:val="0"/>
          <w:sz w:val="32"/>
          <w:szCs w:val="24"/>
          <w:u w:val="single"/>
          <w:lang w:val="en-US" w:eastAsia="zh-CN"/>
        </w:rPr>
      </w:pPr>
      <w:bookmarkStart w:id="3" w:name="_Toc9771"/>
      <w:bookmarkStart w:id="4" w:name="_Toc11109"/>
      <w:bookmarkStart w:id="5" w:name="_Toc15853"/>
      <w:r>
        <w:rPr>
          <w:rFonts w:hint="eastAsia" w:ascii="仿宋" w:hAnsi="仿宋" w:eastAsia="仿宋" w:cs="仿宋"/>
          <w:b/>
          <w:bCs/>
          <w:kern w:val="0"/>
          <w:sz w:val="32"/>
          <w:szCs w:val="24"/>
        </w:rPr>
        <w:t>项目编号：</w:t>
      </w:r>
      <w:bookmarkEnd w:id="3"/>
      <w:bookmarkEnd w:id="4"/>
      <w:bookmarkEnd w:id="5"/>
      <w:r>
        <w:rPr>
          <w:rFonts w:hint="eastAsia" w:ascii="仿宋" w:hAnsi="仿宋" w:eastAsia="仿宋" w:cs="仿宋"/>
          <w:b/>
          <w:bCs/>
          <w:kern w:val="0"/>
          <w:sz w:val="32"/>
          <w:szCs w:val="24"/>
          <w:lang w:val="en-US" w:eastAsia="zh-CN"/>
        </w:rPr>
        <w:t xml:space="preserve">    </w:t>
      </w:r>
      <w:r>
        <w:rPr>
          <w:rFonts w:hint="eastAsia" w:ascii="仿宋" w:hAnsi="仿宋" w:eastAsia="仿宋" w:cs="仿宋"/>
          <w:b/>
          <w:bCs/>
          <w:kern w:val="0"/>
          <w:sz w:val="32"/>
          <w:szCs w:val="24"/>
          <w:highlight w:val="none"/>
          <w:u w:val="single"/>
          <w:lang w:val="en-US" w:eastAsia="zh-CN"/>
        </w:rPr>
        <w:t>JSZC-320623-JSFH-C2025-0123</w:t>
      </w:r>
    </w:p>
    <w:p w14:paraId="7D16110D">
      <w:pPr>
        <w:adjustRightInd w:val="0"/>
        <w:spacing w:before="120" w:after="120" w:line="360" w:lineRule="auto"/>
        <w:ind w:firstLine="964" w:firstLineChars="300"/>
        <w:jc w:val="both"/>
        <w:textAlignment w:val="baseline"/>
        <w:outlineLvl w:val="0"/>
        <w:rPr>
          <w:rFonts w:hint="eastAsia" w:ascii="仿宋" w:hAnsi="仿宋" w:eastAsia="仿宋" w:cs="仿宋"/>
          <w:b/>
          <w:bCs/>
          <w:kern w:val="0"/>
          <w:sz w:val="32"/>
          <w:szCs w:val="24"/>
          <w:u w:val="none"/>
        </w:rPr>
      </w:pPr>
      <w:r>
        <w:rPr>
          <w:rFonts w:hint="eastAsia" w:ascii="仿宋" w:hAnsi="仿宋" w:eastAsia="仿宋" w:cs="仿宋"/>
          <w:b/>
          <w:bCs/>
          <w:kern w:val="0"/>
          <w:sz w:val="32"/>
          <w:szCs w:val="24"/>
          <w:u w:val="none"/>
          <w:lang w:val="en-US" w:eastAsia="zh-CN"/>
        </w:rPr>
        <w:t>采购代理名称：</w:t>
      </w:r>
      <w:r>
        <w:rPr>
          <w:rFonts w:hint="eastAsia" w:ascii="仿宋" w:hAnsi="仿宋" w:eastAsia="仿宋" w:cs="仿宋"/>
          <w:b/>
          <w:bCs/>
          <w:kern w:val="0"/>
          <w:sz w:val="32"/>
          <w:szCs w:val="24"/>
          <w:u w:val="single"/>
        </w:rPr>
        <w:t>江苏富华工程造价咨询有限公司</w:t>
      </w:r>
      <w:r>
        <w:rPr>
          <w:rFonts w:hint="eastAsia" w:ascii="仿宋" w:hAnsi="仿宋" w:eastAsia="仿宋" w:cs="仿宋"/>
          <w:b/>
          <w:bCs/>
          <w:kern w:val="0"/>
          <w:sz w:val="32"/>
          <w:szCs w:val="24"/>
          <w:u w:val="none"/>
        </w:rPr>
        <w:t xml:space="preserve">   </w:t>
      </w:r>
    </w:p>
    <w:p w14:paraId="1330A59B">
      <w:pPr>
        <w:adjustRightInd w:val="0"/>
        <w:spacing w:before="120" w:after="120" w:line="360" w:lineRule="auto"/>
        <w:ind w:firstLine="964" w:firstLineChars="300"/>
        <w:jc w:val="both"/>
        <w:textAlignment w:val="baseline"/>
        <w:outlineLvl w:val="0"/>
        <w:rPr>
          <w:rFonts w:hint="default" w:ascii="仿宋" w:hAnsi="仿宋" w:eastAsia="仿宋" w:cs="仿宋"/>
          <w:b/>
          <w:bCs/>
          <w:kern w:val="0"/>
          <w:sz w:val="32"/>
          <w:szCs w:val="24"/>
          <w:u w:val="single"/>
          <w:lang w:val="en-US" w:eastAsia="zh-CN"/>
        </w:rPr>
      </w:pPr>
      <w:r>
        <w:rPr>
          <w:rFonts w:hint="eastAsia" w:ascii="仿宋" w:hAnsi="仿宋" w:eastAsia="仿宋" w:cs="仿宋"/>
          <w:b/>
          <w:bCs/>
          <w:kern w:val="0"/>
          <w:sz w:val="32"/>
          <w:szCs w:val="24"/>
          <w:u w:val="none"/>
          <w:lang w:val="en-US" w:eastAsia="zh-CN"/>
        </w:rPr>
        <w:t xml:space="preserve">采购方式：          </w:t>
      </w:r>
      <w:r>
        <w:rPr>
          <w:rFonts w:hint="eastAsia" w:ascii="仿宋" w:hAnsi="仿宋" w:eastAsia="仿宋" w:cs="仿宋"/>
          <w:b/>
          <w:bCs/>
          <w:kern w:val="0"/>
          <w:sz w:val="32"/>
          <w:szCs w:val="24"/>
          <w:u w:val="single"/>
          <w:lang w:val="en-US" w:eastAsia="zh-CN"/>
        </w:rPr>
        <w:t>竞争性磋商</w:t>
      </w:r>
    </w:p>
    <w:p w14:paraId="2ED6889E">
      <w:pPr>
        <w:adjustRightInd w:val="0"/>
        <w:spacing w:line="360" w:lineRule="auto"/>
        <w:jc w:val="left"/>
        <w:textAlignment w:val="baseline"/>
        <w:rPr>
          <w:rFonts w:hint="eastAsia" w:ascii="仿宋" w:hAnsi="仿宋" w:eastAsia="仿宋" w:cs="仿宋"/>
          <w:kern w:val="0"/>
          <w:sz w:val="24"/>
          <w:szCs w:val="24"/>
        </w:rPr>
      </w:pPr>
    </w:p>
    <w:p w14:paraId="45C4216D">
      <w:pPr>
        <w:adjustRightInd w:val="0"/>
        <w:spacing w:line="360" w:lineRule="auto"/>
        <w:jc w:val="left"/>
        <w:textAlignment w:val="baseline"/>
        <w:rPr>
          <w:rFonts w:hint="eastAsia" w:ascii="仿宋" w:hAnsi="仿宋" w:eastAsia="仿宋" w:cs="仿宋"/>
          <w:kern w:val="0"/>
          <w:sz w:val="24"/>
          <w:szCs w:val="24"/>
        </w:rPr>
      </w:pPr>
    </w:p>
    <w:p w14:paraId="7C3B6AB9">
      <w:pPr>
        <w:adjustRightInd w:val="0"/>
        <w:spacing w:line="360" w:lineRule="auto"/>
        <w:jc w:val="left"/>
        <w:textAlignment w:val="baseline"/>
        <w:rPr>
          <w:rFonts w:hint="eastAsia" w:ascii="仿宋" w:hAnsi="仿宋" w:eastAsia="仿宋" w:cs="仿宋"/>
          <w:kern w:val="0"/>
          <w:sz w:val="24"/>
          <w:szCs w:val="24"/>
        </w:rPr>
      </w:pPr>
    </w:p>
    <w:p w14:paraId="2EE8C4EC">
      <w:pPr>
        <w:adjustRightInd w:val="0"/>
        <w:spacing w:line="360" w:lineRule="auto"/>
        <w:jc w:val="left"/>
        <w:textAlignment w:val="baseline"/>
        <w:rPr>
          <w:rFonts w:hint="eastAsia" w:ascii="仿宋" w:hAnsi="仿宋" w:eastAsia="仿宋" w:cs="仿宋"/>
          <w:kern w:val="0"/>
          <w:sz w:val="24"/>
          <w:szCs w:val="24"/>
        </w:rPr>
      </w:pPr>
    </w:p>
    <w:p w14:paraId="2CA2C915">
      <w:pPr>
        <w:adjustRightInd w:val="0"/>
        <w:spacing w:before="120" w:after="120" w:line="360" w:lineRule="auto"/>
        <w:jc w:val="center"/>
        <w:textAlignment w:val="baseline"/>
        <w:rPr>
          <w:rFonts w:hint="eastAsia" w:ascii="仿宋" w:hAnsi="仿宋" w:eastAsia="仿宋" w:cs="仿宋"/>
          <w:b/>
          <w:bCs/>
          <w:kern w:val="0"/>
          <w:sz w:val="32"/>
          <w:szCs w:val="24"/>
        </w:rPr>
      </w:pPr>
      <w:r>
        <w:rPr>
          <w:rFonts w:hint="eastAsia" w:ascii="仿宋" w:hAnsi="仿宋" w:eastAsia="仿宋" w:cs="仿宋"/>
          <w:b/>
          <w:bCs/>
          <w:kern w:val="0"/>
          <w:sz w:val="32"/>
          <w:szCs w:val="24"/>
          <w:lang w:val="en-US" w:eastAsia="zh-CN"/>
        </w:rPr>
        <w:t>2025</w:t>
      </w:r>
      <w:r>
        <w:rPr>
          <w:rFonts w:hint="eastAsia" w:ascii="仿宋" w:hAnsi="仿宋" w:eastAsia="仿宋" w:cs="仿宋"/>
          <w:b/>
          <w:bCs/>
          <w:kern w:val="0"/>
          <w:sz w:val="32"/>
          <w:szCs w:val="24"/>
        </w:rPr>
        <w:t>年</w:t>
      </w:r>
      <w:r>
        <w:rPr>
          <w:rFonts w:hint="eastAsia" w:ascii="仿宋" w:hAnsi="仿宋" w:eastAsia="仿宋" w:cs="仿宋"/>
          <w:b/>
          <w:bCs/>
          <w:kern w:val="0"/>
          <w:sz w:val="32"/>
          <w:szCs w:val="24"/>
          <w:lang w:val="en-US" w:eastAsia="zh-CN"/>
        </w:rPr>
        <w:t>12</w:t>
      </w:r>
      <w:r>
        <w:rPr>
          <w:rFonts w:hint="eastAsia" w:ascii="仿宋" w:hAnsi="仿宋" w:eastAsia="仿宋" w:cs="仿宋"/>
          <w:b/>
          <w:bCs/>
          <w:kern w:val="0"/>
          <w:sz w:val="32"/>
          <w:szCs w:val="24"/>
        </w:rPr>
        <w:t>月</w:t>
      </w:r>
    </w:p>
    <w:p w14:paraId="59A48D28">
      <w:pPr>
        <w:adjustRightInd w:val="0"/>
        <w:spacing w:before="120" w:after="120" w:line="360" w:lineRule="auto"/>
        <w:jc w:val="left"/>
        <w:textAlignment w:val="baseline"/>
        <w:rPr>
          <w:rFonts w:hint="eastAsia" w:ascii="仿宋" w:hAnsi="仿宋" w:eastAsia="仿宋" w:cs="仿宋"/>
          <w:kern w:val="0"/>
          <w:sz w:val="24"/>
          <w:szCs w:val="24"/>
          <w:u w:val="single"/>
        </w:rPr>
      </w:pPr>
      <w:r>
        <w:rPr>
          <w:rFonts w:hint="eastAsia" w:ascii="仿宋" w:hAnsi="仿宋" w:eastAsia="仿宋" w:cs="仿宋"/>
          <w:kern w:val="0"/>
          <w:sz w:val="24"/>
          <w:szCs w:val="24"/>
        </w:rPr>
        <w:t xml:space="preserve">                        </w:t>
      </w:r>
    </w:p>
    <w:p w14:paraId="61DF9BB6">
      <w:pPr>
        <w:adjustRightInd w:val="0"/>
        <w:spacing w:before="120" w:after="120" w:line="360" w:lineRule="auto"/>
        <w:jc w:val="center"/>
        <w:textAlignment w:val="baseline"/>
        <w:rPr>
          <w:rFonts w:hint="eastAsia" w:ascii="仿宋" w:hAnsi="仿宋" w:eastAsia="仿宋" w:cs="仿宋"/>
          <w:kern w:val="0"/>
          <w:sz w:val="24"/>
          <w:szCs w:val="24"/>
        </w:rPr>
      </w:pPr>
    </w:p>
    <w:p w14:paraId="2C761C00">
      <w:pPr>
        <w:numPr>
          <w:ilvl w:val="0"/>
          <w:numId w:val="0"/>
        </w:numPr>
        <w:spacing w:line="480" w:lineRule="auto"/>
        <w:ind w:firstLine="3534" w:firstLineChars="800"/>
        <w:outlineLvl w:val="0"/>
        <w:rPr>
          <w:rFonts w:hint="eastAsia" w:ascii="仿宋" w:hAnsi="仿宋" w:eastAsia="仿宋" w:cs="仿宋"/>
          <w:b/>
          <w:bCs/>
          <w:kern w:val="2"/>
          <w:sz w:val="44"/>
          <w:szCs w:val="44"/>
          <w:lang w:val="en-US" w:eastAsia="zh-CN" w:bidi="ar-SA"/>
        </w:rPr>
      </w:pPr>
      <w:bookmarkStart w:id="6" w:name="_Toc120614210"/>
      <w:bookmarkStart w:id="7" w:name="_Toc20823272"/>
      <w:bookmarkStart w:id="8" w:name="_Toc16938516"/>
      <w:bookmarkStart w:id="9" w:name="_Toc523127445"/>
      <w:bookmarkStart w:id="10" w:name="_Toc479757206"/>
      <w:bookmarkStart w:id="11" w:name="_Toc513029200"/>
    </w:p>
    <w:p w14:paraId="7F9C4059">
      <w:pPr>
        <w:numPr>
          <w:ilvl w:val="0"/>
          <w:numId w:val="0"/>
        </w:numPr>
        <w:spacing w:line="480" w:lineRule="auto"/>
        <w:ind w:firstLine="3534" w:firstLineChars="800"/>
        <w:outlineLvl w:val="0"/>
        <w:rPr>
          <w:rFonts w:hint="eastAsia" w:ascii="仿宋" w:hAnsi="仿宋" w:eastAsia="仿宋" w:cs="仿宋"/>
          <w:b/>
          <w:bCs/>
          <w:sz w:val="36"/>
          <w:szCs w:val="36"/>
        </w:rPr>
      </w:pPr>
      <w:r>
        <w:rPr>
          <w:rFonts w:hint="eastAsia" w:ascii="仿宋" w:hAnsi="仿宋" w:eastAsia="仿宋" w:cs="仿宋"/>
          <w:b/>
          <w:bCs/>
          <w:kern w:val="2"/>
          <w:sz w:val="44"/>
          <w:szCs w:val="44"/>
          <w:lang w:val="en-US" w:eastAsia="zh-CN" w:bidi="ar-SA"/>
        </w:rPr>
        <w:t xml:space="preserve">总 </w:t>
      </w:r>
      <w:r>
        <w:rPr>
          <w:rFonts w:hint="eastAsia" w:ascii="仿宋" w:hAnsi="仿宋" w:eastAsia="仿宋" w:cs="仿宋"/>
          <w:b/>
          <w:bCs/>
          <w:sz w:val="44"/>
          <w:szCs w:val="44"/>
        </w:rPr>
        <w:t>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28C013B7">
      <w:pPr>
        <w:spacing w:before="0" w:after="0" w:line="240" w:lineRule="auto"/>
        <w:ind w:left="0" w:leftChars="0" w:right="0" w:firstLine="0" w:firstLineChars="0"/>
        <w:jc w:val="center"/>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2C2059ED">
      <w:pPr>
        <w:pStyle w:val="12"/>
        <w:tabs>
          <w:tab w:val="right" w:leader="dot" w:pos="8953"/>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3</w:t>
      </w:r>
      <w:r>
        <w:rPr>
          <w:rFonts w:hint="default" w:ascii="Times New Roman" w:hAnsi="Times New Roman" w:eastAsia="仿宋" w:cs="Times New Roman"/>
          <w:b/>
          <w:bCs/>
          <w:sz w:val="36"/>
          <w:szCs w:val="36"/>
        </w:rPr>
        <w:fldChar w:fldCharType="end"/>
      </w:r>
    </w:p>
    <w:p w14:paraId="6F3A7E4A">
      <w:pPr>
        <w:pStyle w:val="12"/>
        <w:tabs>
          <w:tab w:val="right" w:leader="dot" w:pos="8953"/>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6</w:t>
      </w:r>
      <w:r>
        <w:rPr>
          <w:rFonts w:hint="default" w:ascii="Times New Roman" w:hAnsi="Times New Roman" w:eastAsia="仿宋" w:cs="Times New Roman"/>
          <w:b/>
          <w:bCs/>
          <w:sz w:val="36"/>
          <w:szCs w:val="36"/>
        </w:rPr>
        <w:fldChar w:fldCharType="end"/>
      </w:r>
    </w:p>
    <w:p w14:paraId="73334E50">
      <w:pPr>
        <w:pStyle w:val="12"/>
        <w:tabs>
          <w:tab w:val="right" w:leader="dot" w:pos="8953"/>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1</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7</w:t>
      </w:r>
    </w:p>
    <w:p w14:paraId="02BC3C03">
      <w:pPr>
        <w:pStyle w:val="12"/>
        <w:tabs>
          <w:tab w:val="right" w:leader="dot" w:pos="8953"/>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采购需求</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2</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2</w:t>
      </w:r>
    </w:p>
    <w:p w14:paraId="60993B0B">
      <w:pPr>
        <w:pStyle w:val="12"/>
        <w:tabs>
          <w:tab w:val="right" w:leader="dot" w:pos="8953"/>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2</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8</w:t>
      </w:r>
    </w:p>
    <w:p w14:paraId="333C6058">
      <w:pPr>
        <w:pStyle w:val="12"/>
        <w:tabs>
          <w:tab w:val="right" w:leader="dot" w:pos="8953"/>
        </w:tabs>
        <w:rPr>
          <w:rFonts w:hint="eastAsia" w:ascii="仿宋" w:hAnsi="仿宋" w:eastAsia="仿宋" w:cs="仿宋"/>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3</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4</w:t>
      </w:r>
    </w:p>
    <w:p w14:paraId="1CD58357">
      <w:pPr>
        <w:pStyle w:val="12"/>
        <w:tabs>
          <w:tab w:val="right" w:leader="dot" w:pos="8953"/>
        </w:tabs>
        <w:rPr>
          <w:rFonts w:hint="eastAsia" w:ascii="仿宋" w:hAnsi="仿宋" w:eastAsia="仿宋" w:cs="仿宋"/>
          <w:b/>
          <w:bCs/>
          <w:sz w:val="36"/>
          <w:szCs w:val="36"/>
        </w:rPr>
      </w:pPr>
    </w:p>
    <w:p w14:paraId="1148D163">
      <w:pPr>
        <w:pStyle w:val="12"/>
        <w:tabs>
          <w:tab w:val="right" w:leader="dot" w:pos="8953"/>
        </w:tabs>
        <w:rPr>
          <w:rFonts w:hint="eastAsia" w:ascii="仿宋" w:hAnsi="仿宋" w:eastAsia="仿宋" w:cs="仿宋"/>
          <w:b/>
          <w:bCs/>
          <w:sz w:val="36"/>
          <w:szCs w:val="36"/>
        </w:rPr>
      </w:pPr>
      <w:r>
        <w:rPr>
          <w:rFonts w:hint="eastAsia" w:ascii="仿宋" w:hAnsi="仿宋" w:eastAsia="仿宋" w:cs="仿宋"/>
          <w:b/>
          <w:bCs/>
          <w:sz w:val="36"/>
          <w:szCs w:val="36"/>
        </w:rPr>
        <w:fldChar w:fldCharType="end"/>
      </w:r>
    </w:p>
    <w:p w14:paraId="3FAF0D4C">
      <w:pPr>
        <w:pStyle w:val="12"/>
        <w:tabs>
          <w:tab w:val="right" w:leader="dot" w:pos="8953"/>
        </w:tabs>
        <w:rPr>
          <w:rFonts w:hint="eastAsia" w:ascii="仿宋" w:hAnsi="仿宋" w:eastAsia="仿宋" w:cs="仿宋"/>
          <w:b/>
          <w:bCs/>
          <w:sz w:val="36"/>
          <w:szCs w:val="36"/>
        </w:rPr>
      </w:pPr>
    </w:p>
    <w:p w14:paraId="4A1DA314">
      <w:pPr>
        <w:rPr>
          <w:rFonts w:hint="eastAsia" w:ascii="仿宋" w:hAnsi="仿宋" w:eastAsia="仿宋" w:cs="仿宋"/>
          <w:szCs w:val="21"/>
        </w:rPr>
      </w:pPr>
      <w:r>
        <w:rPr>
          <w:rFonts w:hint="eastAsia" w:ascii="仿宋" w:hAnsi="仿宋" w:eastAsia="仿宋" w:cs="仿宋"/>
          <w:b/>
          <w:bCs/>
          <w:sz w:val="36"/>
          <w:szCs w:val="36"/>
        </w:rPr>
        <w:fldChar w:fldCharType="end"/>
      </w:r>
    </w:p>
    <w:p w14:paraId="3E2ED8E0">
      <w:pPr>
        <w:rPr>
          <w:rFonts w:hint="eastAsia" w:ascii="仿宋" w:hAnsi="仿宋" w:eastAsia="仿宋" w:cs="仿宋"/>
          <w:szCs w:val="21"/>
        </w:rPr>
      </w:pPr>
    </w:p>
    <w:p w14:paraId="4D3B3B8F">
      <w:pPr>
        <w:rPr>
          <w:rFonts w:hint="eastAsia" w:ascii="仿宋" w:hAnsi="仿宋" w:eastAsia="仿宋" w:cs="仿宋"/>
          <w:szCs w:val="21"/>
        </w:rPr>
      </w:pPr>
    </w:p>
    <w:p w14:paraId="3A1C793F">
      <w:pPr>
        <w:rPr>
          <w:rFonts w:hint="eastAsia" w:ascii="仿宋" w:hAnsi="仿宋" w:eastAsia="仿宋" w:cs="仿宋"/>
          <w:szCs w:val="21"/>
        </w:rPr>
      </w:pPr>
    </w:p>
    <w:p w14:paraId="081E1428">
      <w:pPr>
        <w:rPr>
          <w:rFonts w:hint="eastAsia" w:ascii="仿宋" w:hAnsi="仿宋" w:eastAsia="仿宋" w:cs="仿宋"/>
          <w:szCs w:val="21"/>
        </w:rPr>
      </w:pPr>
    </w:p>
    <w:p w14:paraId="61F11A2F">
      <w:pPr>
        <w:rPr>
          <w:rFonts w:hint="eastAsia" w:ascii="仿宋" w:hAnsi="仿宋" w:eastAsia="仿宋" w:cs="仿宋"/>
          <w:sz w:val="28"/>
          <w:szCs w:val="28"/>
        </w:rPr>
      </w:pPr>
    </w:p>
    <w:p w14:paraId="2B56DFD2">
      <w:pPr>
        <w:rPr>
          <w:rFonts w:hint="eastAsia" w:ascii="仿宋" w:hAnsi="仿宋" w:eastAsia="仿宋" w:cs="仿宋"/>
          <w:szCs w:val="21"/>
        </w:rPr>
      </w:pPr>
    </w:p>
    <w:p w14:paraId="3C697D7D">
      <w:pPr>
        <w:pStyle w:val="15"/>
        <w:rPr>
          <w:rFonts w:hint="eastAsia" w:ascii="仿宋" w:hAnsi="仿宋" w:eastAsia="仿宋" w:cs="仿宋"/>
          <w:szCs w:val="21"/>
        </w:rPr>
      </w:pPr>
    </w:p>
    <w:p w14:paraId="485CEE78">
      <w:pPr>
        <w:rPr>
          <w:rFonts w:hint="eastAsia" w:ascii="仿宋" w:hAnsi="仿宋" w:eastAsia="仿宋" w:cs="仿宋"/>
          <w:szCs w:val="21"/>
        </w:rPr>
      </w:pPr>
    </w:p>
    <w:p w14:paraId="20A92B21">
      <w:pPr>
        <w:pStyle w:val="15"/>
        <w:rPr>
          <w:rFonts w:hint="eastAsia" w:ascii="仿宋" w:hAnsi="仿宋" w:eastAsia="仿宋" w:cs="仿宋"/>
          <w:szCs w:val="21"/>
        </w:rPr>
      </w:pPr>
    </w:p>
    <w:p w14:paraId="702BCFB0">
      <w:pPr>
        <w:rPr>
          <w:rFonts w:hint="eastAsia"/>
        </w:rPr>
      </w:pPr>
    </w:p>
    <w:p w14:paraId="283C8BDA">
      <w:pPr>
        <w:rPr>
          <w:rFonts w:hint="eastAsia" w:ascii="仿宋" w:hAnsi="仿宋" w:eastAsia="仿宋" w:cs="仿宋"/>
          <w:szCs w:val="21"/>
        </w:rPr>
      </w:pPr>
    </w:p>
    <w:p w14:paraId="076F5131">
      <w:pPr>
        <w:rPr>
          <w:rFonts w:hint="eastAsia" w:ascii="仿宋" w:hAnsi="仿宋" w:eastAsia="仿宋" w:cs="仿宋"/>
          <w:szCs w:val="21"/>
        </w:rPr>
      </w:pPr>
    </w:p>
    <w:p w14:paraId="0419A525">
      <w:pPr>
        <w:rPr>
          <w:rFonts w:hint="eastAsia" w:ascii="仿宋" w:hAnsi="仿宋" w:eastAsia="仿宋" w:cs="仿宋"/>
          <w:szCs w:val="21"/>
        </w:rPr>
      </w:pPr>
    </w:p>
    <w:p w14:paraId="3D4B596F">
      <w:pPr>
        <w:rPr>
          <w:rFonts w:hint="eastAsia" w:ascii="仿宋" w:hAnsi="仿宋" w:eastAsia="仿宋" w:cs="仿宋"/>
          <w:szCs w:val="21"/>
        </w:rPr>
      </w:pPr>
    </w:p>
    <w:p w14:paraId="7058126A">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bookmarkStart w:id="12" w:name="_Toc31671"/>
      <w:bookmarkStart w:id="13" w:name="_Toc28664"/>
      <w:bookmarkStart w:id="14" w:name="_Toc5588"/>
    </w:p>
    <w:p w14:paraId="71195550">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5FEBA932">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3B300FDA">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2A86DA7D">
      <w:pPr>
        <w:keepNext w:val="0"/>
        <w:keepLines w:val="0"/>
        <w:pageBreakBefore w:val="0"/>
        <w:widowControl w:val="0"/>
        <w:kinsoku/>
        <w:wordWrap/>
        <w:overflowPunct/>
        <w:topLinePunct w:val="0"/>
        <w:autoSpaceDE/>
        <w:autoSpaceDN/>
        <w:bidi w:val="0"/>
        <w:adjustRightInd/>
        <w:snapToGrid/>
        <w:jc w:val="both"/>
        <w:textAlignment w:val="auto"/>
        <w:outlineLvl w:val="0"/>
        <w:rPr>
          <w:rFonts w:hint="eastAsia" w:ascii="仿宋" w:hAnsi="仿宋" w:eastAsia="仿宋" w:cs="仿宋"/>
          <w:b/>
          <w:bCs/>
          <w:sz w:val="44"/>
          <w:szCs w:val="44"/>
        </w:rPr>
      </w:pPr>
    </w:p>
    <w:p w14:paraId="54AE395F">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024F2D6C">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r>
        <w:rPr>
          <w:rFonts w:hint="eastAsia" w:ascii="仿宋" w:hAnsi="仿宋" w:eastAsia="仿宋" w:cs="仿宋"/>
          <w:b/>
          <w:bCs/>
          <w:sz w:val="44"/>
          <w:szCs w:val="44"/>
        </w:rPr>
        <w:t xml:space="preserve">第一章  </w:t>
      </w:r>
      <w:bookmarkEnd w:id="6"/>
      <w:r>
        <w:rPr>
          <w:rFonts w:hint="eastAsia" w:ascii="仿宋" w:hAnsi="仿宋" w:eastAsia="仿宋" w:cs="仿宋"/>
          <w:b/>
          <w:bCs/>
          <w:sz w:val="44"/>
          <w:szCs w:val="44"/>
        </w:rPr>
        <w:t>磋商邀请</w:t>
      </w:r>
      <w:bookmarkEnd w:id="12"/>
      <w:bookmarkEnd w:id="13"/>
      <w:bookmarkEnd w:id="14"/>
    </w:p>
    <w:p w14:paraId="632E048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受</w:t>
      </w:r>
      <w:r>
        <w:rPr>
          <w:rFonts w:hint="eastAsia" w:ascii="仿宋" w:hAnsi="仿宋" w:eastAsia="仿宋" w:cs="仿宋"/>
          <w:sz w:val="24"/>
          <w:szCs w:val="24"/>
          <w:u w:val="single"/>
          <w:lang w:val="en-US" w:eastAsia="zh-CN"/>
        </w:rPr>
        <w:t>如东县公安局</w:t>
      </w:r>
      <w:r>
        <w:rPr>
          <w:rFonts w:hint="eastAsia" w:ascii="仿宋" w:hAnsi="仿宋" w:eastAsia="仿宋" w:cs="仿宋"/>
          <w:sz w:val="24"/>
          <w:szCs w:val="24"/>
        </w:rPr>
        <w:t>的委托，</w:t>
      </w:r>
      <w:r>
        <w:rPr>
          <w:rFonts w:hint="eastAsia" w:ascii="仿宋" w:hAnsi="仿宋" w:eastAsia="仿宋" w:cs="仿宋"/>
          <w:sz w:val="24"/>
          <w:szCs w:val="24"/>
          <w:u w:val="single"/>
        </w:rPr>
        <w:t>江苏富华工程造价咨询有限公司</w:t>
      </w:r>
      <w:r>
        <w:rPr>
          <w:rFonts w:hint="eastAsia" w:ascii="仿宋" w:hAnsi="仿宋" w:eastAsia="仿宋" w:cs="仿宋"/>
          <w:sz w:val="24"/>
          <w:szCs w:val="24"/>
        </w:rPr>
        <w:t>就</w:t>
      </w:r>
      <w:r>
        <w:rPr>
          <w:rFonts w:hint="eastAsia" w:ascii="仿宋" w:hAnsi="仿宋" w:eastAsia="仿宋" w:cs="仿宋"/>
          <w:sz w:val="24"/>
          <w:szCs w:val="24"/>
          <w:u w:val="single"/>
          <w:lang w:eastAsia="zh-CN"/>
        </w:rPr>
        <w:t>如东县公安局县局食堂餐饮服务项目</w:t>
      </w:r>
      <w:r>
        <w:rPr>
          <w:rFonts w:hint="eastAsia" w:ascii="仿宋" w:hAnsi="仿宋" w:eastAsia="仿宋" w:cs="仿宋"/>
          <w:sz w:val="24"/>
          <w:szCs w:val="24"/>
          <w:u w:val="single"/>
        </w:rPr>
        <w:t>(</w:t>
      </w:r>
      <w:r>
        <w:rPr>
          <w:rFonts w:hint="eastAsia" w:ascii="仿宋" w:hAnsi="仿宋" w:eastAsia="仿宋" w:cs="仿宋"/>
          <w:sz w:val="24"/>
          <w:szCs w:val="24"/>
          <w:lang w:val="en-US" w:eastAsia="zh-CN"/>
        </w:rPr>
        <w:t>JSZC-320623-JSFH-C2025-0123</w:t>
      </w:r>
      <w:r>
        <w:rPr>
          <w:rFonts w:hint="eastAsia" w:ascii="仿宋" w:hAnsi="仿宋" w:eastAsia="仿宋" w:cs="仿宋"/>
          <w:sz w:val="24"/>
          <w:szCs w:val="24"/>
          <w:highlight w:val="none"/>
        </w:rPr>
        <w:t>)</w:t>
      </w:r>
      <w:r>
        <w:rPr>
          <w:rFonts w:hint="eastAsia" w:ascii="仿宋" w:hAnsi="仿宋" w:eastAsia="仿宋" w:cs="仿宋"/>
          <w:sz w:val="24"/>
          <w:szCs w:val="24"/>
        </w:rPr>
        <w:t>进行竞争性磋商采购，欢迎符合条件的供应商参加磋商。</w:t>
      </w:r>
    </w:p>
    <w:p w14:paraId="48341377">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项目概况</w:t>
      </w:r>
    </w:p>
    <w:p w14:paraId="01A9438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u w:val="single"/>
        </w:rPr>
        <w:t>如东县公安局县局食堂餐饮服务</w:t>
      </w:r>
      <w:r>
        <w:rPr>
          <w:rFonts w:hint="eastAsia" w:ascii="仿宋" w:hAnsi="仿宋" w:eastAsia="仿宋" w:cs="仿宋"/>
          <w:sz w:val="24"/>
          <w:szCs w:val="24"/>
        </w:rPr>
        <w:t>竞</w:t>
      </w:r>
      <w:r>
        <w:rPr>
          <w:rFonts w:hint="eastAsia" w:ascii="仿宋" w:hAnsi="仿宋" w:eastAsia="仿宋" w:cs="仿宋"/>
          <w:sz w:val="24"/>
          <w:szCs w:val="24"/>
          <w:lang w:eastAsia="zh-CN"/>
        </w:rPr>
        <w:t>争性磋商项目的潜在供应商可</w:t>
      </w:r>
      <w:r>
        <w:rPr>
          <w:rFonts w:hint="eastAsia" w:ascii="仿宋" w:hAnsi="仿宋" w:eastAsia="仿宋" w:cs="仿宋"/>
          <w:sz w:val="24"/>
          <w:szCs w:val="24"/>
        </w:rPr>
        <w:t>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highlight w:val="none"/>
          <w:u w:val="single"/>
          <w:lang w:val="en-US" w:eastAsia="zh-CN"/>
        </w:rPr>
        <w:t>2025</w:t>
      </w:r>
      <w:r>
        <w:rPr>
          <w:rFonts w:hint="eastAsia" w:ascii="仿宋" w:hAnsi="仿宋" w:eastAsia="仿宋" w:cs="仿宋"/>
          <w:bCs/>
          <w:sz w:val="24"/>
          <w:szCs w:val="24"/>
          <w:highlight w:val="none"/>
          <w:u w:val="single"/>
        </w:rPr>
        <w:t>年</w:t>
      </w:r>
      <w:r>
        <w:rPr>
          <w:rFonts w:hint="eastAsia" w:ascii="仿宋" w:hAnsi="仿宋" w:eastAsia="仿宋" w:cs="仿宋"/>
          <w:bCs/>
          <w:sz w:val="24"/>
          <w:szCs w:val="24"/>
          <w:highlight w:val="none"/>
          <w:u w:val="single"/>
          <w:lang w:val="en-US" w:eastAsia="zh-CN"/>
        </w:rPr>
        <w:t>12</w:t>
      </w:r>
      <w:r>
        <w:rPr>
          <w:rFonts w:hint="eastAsia" w:ascii="仿宋" w:hAnsi="仿宋" w:eastAsia="仿宋" w:cs="仿宋"/>
          <w:bCs/>
          <w:sz w:val="24"/>
          <w:szCs w:val="24"/>
          <w:highlight w:val="none"/>
          <w:u w:val="single"/>
        </w:rPr>
        <w:t>月</w:t>
      </w:r>
      <w:r>
        <w:rPr>
          <w:rFonts w:hint="eastAsia" w:ascii="仿宋" w:hAnsi="仿宋" w:eastAsia="仿宋" w:cs="仿宋"/>
          <w:bCs/>
          <w:sz w:val="24"/>
          <w:szCs w:val="24"/>
          <w:highlight w:val="none"/>
          <w:u w:val="single"/>
          <w:lang w:val="en-US" w:eastAsia="zh-CN"/>
        </w:rPr>
        <w:t>16</w:t>
      </w:r>
      <w:r>
        <w:rPr>
          <w:rFonts w:hint="eastAsia" w:ascii="仿宋" w:hAnsi="仿宋" w:eastAsia="仿宋" w:cs="仿宋"/>
          <w:bCs/>
          <w:sz w:val="24"/>
          <w:szCs w:val="24"/>
          <w:highlight w:val="none"/>
          <w:u w:val="single"/>
        </w:rPr>
        <w:t xml:space="preserve">日 </w:t>
      </w:r>
      <w:r>
        <w:rPr>
          <w:rFonts w:hint="eastAsia" w:ascii="仿宋" w:hAnsi="仿宋" w:eastAsia="仿宋" w:cs="仿宋"/>
          <w:bCs/>
          <w:sz w:val="24"/>
          <w:szCs w:val="24"/>
          <w:highlight w:val="none"/>
          <w:u w:val="single"/>
          <w:lang w:val="en-US" w:eastAsia="zh-CN"/>
        </w:rPr>
        <w:t>8</w:t>
      </w:r>
      <w:r>
        <w:rPr>
          <w:rFonts w:hint="eastAsia" w:ascii="仿宋" w:hAnsi="仿宋" w:eastAsia="仿宋" w:cs="仿宋"/>
          <w:bCs/>
          <w:sz w:val="24"/>
          <w:szCs w:val="24"/>
          <w:highlight w:val="none"/>
          <w:u w:val="single"/>
        </w:rPr>
        <w:t xml:space="preserve"> 点</w:t>
      </w:r>
      <w:r>
        <w:rPr>
          <w:rFonts w:hint="eastAsia" w:ascii="仿宋" w:hAnsi="仿宋" w:eastAsia="仿宋" w:cs="仿宋"/>
          <w:bCs/>
          <w:sz w:val="24"/>
          <w:szCs w:val="24"/>
          <w:highlight w:val="none"/>
          <w:u w:val="single"/>
          <w:lang w:val="en-US" w:eastAsia="zh-CN"/>
        </w:rPr>
        <w:t>30</w:t>
      </w:r>
      <w:r>
        <w:rPr>
          <w:rFonts w:hint="eastAsia" w:ascii="仿宋" w:hAnsi="仿宋" w:eastAsia="仿宋" w:cs="仿宋"/>
          <w:bCs/>
          <w:sz w:val="24"/>
          <w:szCs w:val="24"/>
          <w:highlight w:val="none"/>
          <w:u w:val="single"/>
        </w:rPr>
        <w:t>分</w:t>
      </w:r>
      <w:r>
        <w:rPr>
          <w:rFonts w:hint="eastAsia" w:ascii="仿宋" w:hAnsi="仿宋" w:eastAsia="仿宋" w:cs="仿宋"/>
          <w:bCs/>
          <w:sz w:val="24"/>
          <w:szCs w:val="24"/>
          <w:u w:val="single"/>
        </w:rPr>
        <w:t>（</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73BD43F9">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bookmarkStart w:id="15" w:name="_Toc35393790"/>
      <w:bookmarkStart w:id="16" w:name="_Toc38985263"/>
      <w:bookmarkStart w:id="17" w:name="_Toc28359079"/>
      <w:bookmarkStart w:id="18" w:name="_Toc28359002"/>
      <w:bookmarkStart w:id="19" w:name="_Toc35393621"/>
      <w:bookmarkStart w:id="20" w:name="_Hlk24379207"/>
      <w:r>
        <w:rPr>
          <w:rFonts w:hint="eastAsia" w:ascii="仿宋" w:hAnsi="仿宋" w:eastAsia="仿宋" w:cs="仿宋"/>
          <w:b/>
          <w:bCs/>
          <w:sz w:val="32"/>
          <w:szCs w:val="32"/>
        </w:rPr>
        <w:t>一、项目基本情况</w:t>
      </w:r>
      <w:bookmarkEnd w:id="15"/>
      <w:bookmarkEnd w:id="16"/>
      <w:bookmarkEnd w:id="17"/>
      <w:bookmarkEnd w:id="18"/>
      <w:bookmarkEnd w:id="19"/>
    </w:p>
    <w:p w14:paraId="71D809F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1.项目编号：JSZC-320623-JSFH-C2025-0123</w:t>
      </w:r>
      <w:r>
        <w:rPr>
          <w:rFonts w:hint="eastAsia" w:ascii="仿宋" w:hAnsi="仿宋" w:eastAsia="仿宋" w:cs="仿宋"/>
          <w:sz w:val="24"/>
          <w:szCs w:val="24"/>
          <w:lang w:val="en-US" w:eastAsia="zh-CN"/>
        </w:rPr>
        <w:t xml:space="preserve"> </w:t>
      </w:r>
    </w:p>
    <w:p w14:paraId="0CBA458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项目名称：</w:t>
      </w:r>
      <w:r>
        <w:rPr>
          <w:rFonts w:hint="eastAsia" w:ascii="仿宋" w:hAnsi="仿宋" w:eastAsia="仿宋" w:cs="仿宋"/>
          <w:sz w:val="24"/>
          <w:szCs w:val="24"/>
          <w:lang w:eastAsia="zh-CN"/>
        </w:rPr>
        <w:t>如东县公安局县局食堂餐饮服务项目</w:t>
      </w:r>
    </w:p>
    <w:p w14:paraId="7F5D03D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3.采购方式：竞争性磋商</w:t>
      </w:r>
    </w:p>
    <w:p w14:paraId="7ED2159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kern w:val="0"/>
          <w:sz w:val="24"/>
          <w:szCs w:val="24"/>
          <w:highlight w:val="green"/>
          <w:lang w:val="en-US" w:eastAsia="zh-CN"/>
        </w:rPr>
      </w:pPr>
      <w:r>
        <w:rPr>
          <w:rFonts w:hint="eastAsia" w:ascii="仿宋" w:hAnsi="仿宋" w:eastAsia="仿宋" w:cs="仿宋"/>
          <w:color w:val="000000"/>
          <w:sz w:val="24"/>
          <w:szCs w:val="24"/>
          <w:lang w:val="en-US" w:eastAsia="zh-CN"/>
        </w:rPr>
        <w:t>4.项目类型：</w:t>
      </w:r>
      <w:r>
        <w:rPr>
          <w:rFonts w:hint="eastAsia" w:ascii="仿宋" w:hAnsi="仿宋" w:eastAsia="仿宋" w:cs="仿宋"/>
          <w:color w:val="000000"/>
          <w:kern w:val="0"/>
          <w:sz w:val="24"/>
          <w:szCs w:val="24"/>
          <w:highlight w:val="none"/>
          <w:lang w:val="en-US" w:eastAsia="zh-CN"/>
        </w:rPr>
        <w:t>服务</w:t>
      </w:r>
    </w:p>
    <w:p w14:paraId="756EDF7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5.所属行业：</w:t>
      </w:r>
      <w:r>
        <w:rPr>
          <w:rFonts w:hint="eastAsia" w:ascii="仿宋" w:hAnsi="仿宋" w:eastAsia="仿宋" w:cs="仿宋"/>
          <w:sz w:val="24"/>
          <w:szCs w:val="24"/>
          <w:lang w:val="en-US" w:eastAsia="zh-CN"/>
        </w:rPr>
        <w:t>餐饮业</w:t>
      </w:r>
    </w:p>
    <w:bookmarkEnd w:id="20"/>
    <w:p w14:paraId="3E505C5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6.预算金额（人民币）：</w:t>
      </w:r>
      <w:r>
        <w:rPr>
          <w:rFonts w:hint="eastAsia" w:ascii="宋体" w:hAnsi="宋体" w:cs="宋体"/>
          <w:b/>
          <w:bCs/>
          <w:sz w:val="24"/>
          <w:szCs w:val="24"/>
        </w:rPr>
        <w:t>10</w:t>
      </w:r>
      <w:r>
        <w:rPr>
          <w:rFonts w:hint="eastAsia" w:ascii="宋体" w:hAnsi="宋体" w:cs="宋体"/>
          <w:b/>
          <w:bCs/>
          <w:sz w:val="24"/>
          <w:szCs w:val="24"/>
          <w:lang w:val="en-US" w:eastAsia="zh-CN"/>
        </w:rPr>
        <w:t>8</w:t>
      </w:r>
      <w:r>
        <w:rPr>
          <w:rFonts w:hint="eastAsia" w:ascii="宋体" w:hAnsi="宋体" w:cs="宋体"/>
          <w:b/>
          <w:bCs/>
          <w:sz w:val="24"/>
          <w:szCs w:val="24"/>
        </w:rPr>
        <w:t xml:space="preserve"> 万元</w:t>
      </w:r>
      <w:r>
        <w:rPr>
          <w:rFonts w:hint="eastAsia" w:ascii="宋体" w:hAnsi="宋体" w:cs="宋体"/>
          <w:b/>
          <w:bCs/>
          <w:sz w:val="24"/>
          <w:szCs w:val="24"/>
          <w:lang w:val="en-US" w:eastAsia="zh-CN"/>
        </w:rPr>
        <w:t>/年</w:t>
      </w:r>
      <w:r>
        <w:rPr>
          <w:rFonts w:hint="eastAsia" w:ascii="宋体" w:hAnsi="宋体" w:cs="宋体"/>
          <w:b/>
          <w:bCs/>
          <w:sz w:val="24"/>
          <w:szCs w:val="24"/>
        </w:rPr>
        <w:t>，最终报价超过采购预算的为无效响应文件。</w:t>
      </w:r>
    </w:p>
    <w:p w14:paraId="14837EC6">
      <w:pPr>
        <w:keepNext w:val="0"/>
        <w:keepLines w:val="0"/>
        <w:pageBreakBefore w:val="0"/>
        <w:widowControl w:val="0"/>
        <w:kinsoku/>
        <w:wordWrap/>
        <w:overflowPunct/>
        <w:topLinePunct w:val="0"/>
        <w:autoSpaceDE/>
        <w:autoSpaceDN/>
        <w:bidi w:val="0"/>
        <w:adjustRightInd w:val="0"/>
        <w:snapToGrid w:val="0"/>
        <w:spacing w:line="400" w:lineRule="exact"/>
        <w:ind w:firstLine="720" w:firstLineChars="300"/>
        <w:textAlignment w:val="auto"/>
        <w:rPr>
          <w:rFonts w:hint="eastAsia" w:ascii="仿宋" w:hAnsi="仿宋" w:eastAsia="仿宋" w:cs="仿宋"/>
          <w:color w:val="FF0000"/>
          <w:sz w:val="24"/>
          <w:szCs w:val="24"/>
          <w:lang w:val="en-US" w:eastAsia="zh-CN"/>
        </w:rPr>
      </w:pPr>
      <w:r>
        <w:rPr>
          <w:rFonts w:hint="eastAsia" w:ascii="仿宋" w:hAnsi="仿宋" w:eastAsia="仿宋" w:cs="仿宋"/>
          <w:color w:val="000000"/>
          <w:sz w:val="24"/>
          <w:szCs w:val="24"/>
          <w:lang w:val="en-US" w:eastAsia="zh-CN"/>
        </w:rPr>
        <w:t>最高限价（如有）：</w:t>
      </w:r>
      <w:r>
        <w:rPr>
          <w:rFonts w:hint="eastAsia" w:ascii="仿宋" w:hAnsi="仿宋" w:eastAsia="仿宋" w:cs="仿宋"/>
          <w:sz w:val="24"/>
          <w:szCs w:val="24"/>
          <w:lang w:val="en-US" w:eastAsia="zh-CN"/>
        </w:rPr>
        <w:t>/</w:t>
      </w:r>
    </w:p>
    <w:p w14:paraId="2C1760F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.采购需求（简介）：</w:t>
      </w:r>
      <w:r>
        <w:rPr>
          <w:rFonts w:hint="eastAsia" w:ascii="仿宋" w:hAnsi="仿宋" w:eastAsia="仿宋" w:cs="仿宋"/>
          <w:kern w:val="0"/>
          <w:sz w:val="24"/>
          <w:szCs w:val="24"/>
        </w:rPr>
        <w:t>详细内容见本磋商文件第四章</w:t>
      </w:r>
      <w:r>
        <w:rPr>
          <w:rFonts w:hint="eastAsia" w:ascii="仿宋" w:hAnsi="仿宋" w:eastAsia="仿宋" w:cs="仿宋"/>
          <w:kern w:val="0"/>
          <w:sz w:val="24"/>
          <w:szCs w:val="24"/>
          <w:lang w:eastAsia="zh-CN"/>
        </w:rPr>
        <w:t>。</w:t>
      </w:r>
    </w:p>
    <w:p w14:paraId="607B021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8.合同履行期限：自合同签订正式派驻入场服务起三年，本次采购预算为一年费用，合同一年一签。在下一年度采购资金下达且中标供应商在合同期内服务质量好，达到考核要求，在价格等所有条款不发生变化的情况下，经双方协商，可以续签合同，续签合同一年一签，最多续签两次。</w:t>
      </w:r>
    </w:p>
    <w:p w14:paraId="6BDBA92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bookmarkStart w:id="21" w:name="_Toc38985264"/>
      <w:bookmarkStart w:id="22" w:name="_Toc28359080"/>
      <w:bookmarkStart w:id="23" w:name="_Toc28359003"/>
      <w:bookmarkStart w:id="24" w:name="_Toc35393791"/>
      <w:bookmarkStart w:id="25" w:name="_Toc35393622"/>
      <w:r>
        <w:rPr>
          <w:rFonts w:hint="eastAsia" w:ascii="仿宋" w:hAnsi="仿宋" w:eastAsia="仿宋" w:cs="仿宋"/>
          <w:color w:val="000000"/>
          <w:sz w:val="24"/>
          <w:szCs w:val="24"/>
          <w:highlight w:val="none"/>
          <w:lang w:val="en-US" w:eastAsia="zh-CN"/>
        </w:rPr>
        <w:t>本项目是否接受联合体投标：否。</w:t>
      </w:r>
    </w:p>
    <w:p w14:paraId="2C2EAE1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sz w:val="24"/>
          <w:szCs w:val="24"/>
          <w:highlight w:val="none"/>
          <w:lang w:val="en-US" w:eastAsia="zh-CN"/>
        </w:rPr>
        <w:t>10.本项目是否接受分包：否。</w:t>
      </w:r>
    </w:p>
    <w:p w14:paraId="5582ADE5">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二、申请人的资格要求：</w:t>
      </w:r>
      <w:bookmarkEnd w:id="21"/>
      <w:bookmarkEnd w:id="22"/>
      <w:bookmarkEnd w:id="23"/>
      <w:bookmarkEnd w:id="24"/>
      <w:bookmarkEnd w:id="25"/>
    </w:p>
    <w:p w14:paraId="1D47BAD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bookmarkStart w:id="26" w:name="_Toc28359004"/>
      <w:bookmarkStart w:id="27" w:name="_Toc38985265"/>
      <w:bookmarkStart w:id="28" w:name="_Toc35393792"/>
      <w:bookmarkStart w:id="29" w:name="_Toc35393623"/>
      <w:bookmarkStart w:id="30" w:name="_Toc28359081"/>
      <w:r>
        <w:rPr>
          <w:rFonts w:hint="eastAsia" w:ascii="仿宋" w:hAnsi="仿宋" w:eastAsia="仿宋" w:cs="仿宋"/>
          <w:sz w:val="24"/>
          <w:szCs w:val="24"/>
        </w:rPr>
        <w:t>（一）通用资格要求</w:t>
      </w:r>
    </w:p>
    <w:p w14:paraId="08C9990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bCs/>
          <w:color w:val="FF0000"/>
          <w:sz w:val="24"/>
          <w:szCs w:val="24"/>
          <w:lang w:eastAsia="zh-CN"/>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color w:val="auto"/>
          <w:sz w:val="24"/>
          <w:szCs w:val="24"/>
          <w:lang w:eastAsia="zh-CN"/>
        </w:rPr>
        <w:t>；</w:t>
      </w:r>
    </w:p>
    <w:p w14:paraId="1F79E60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bCs/>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p>
    <w:p w14:paraId="419F55F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b/>
          <w:bCs/>
          <w:sz w:val="24"/>
          <w:szCs w:val="24"/>
        </w:rPr>
      </w:pPr>
      <w:r>
        <w:rPr>
          <w:rFonts w:hint="eastAsia" w:ascii="仿宋" w:hAnsi="仿宋" w:eastAsia="仿宋" w:cs="仿宋"/>
          <w:sz w:val="24"/>
          <w:szCs w:val="24"/>
        </w:rPr>
        <w:t>3.落实政府采购政策需满足的资格要求：</w:t>
      </w:r>
      <w:r>
        <w:rPr>
          <w:rFonts w:hint="eastAsia" w:ascii="仿宋" w:hAnsi="仿宋" w:eastAsia="仿宋" w:cs="仿宋"/>
          <w:b/>
          <w:bCs/>
          <w:color w:val="000000"/>
          <w:sz w:val="24"/>
          <w:szCs w:val="24"/>
        </w:rPr>
        <w:t>本项目专门面向中小企业采购的项目,供应商应为中小微企业、监狱企业或残疾人福利性单位，并按照采购文件要求提供《中小企业声明函》、《残疾人福利性单位声明函》或监狱和戒毒企业证明材料。</w:t>
      </w:r>
    </w:p>
    <w:p w14:paraId="4BEF33B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（二）本项目的特定资格要求</w:t>
      </w:r>
      <w:r>
        <w:rPr>
          <w:rFonts w:hint="eastAsia" w:ascii="仿宋" w:hAnsi="仿宋" w:eastAsia="仿宋" w:cs="仿宋"/>
          <w:sz w:val="24"/>
          <w:szCs w:val="24"/>
          <w:lang w:eastAsia="zh-CN"/>
        </w:rPr>
        <w:t>：</w:t>
      </w:r>
    </w:p>
    <w:p w14:paraId="357F829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投标供应商必须取得营业执照，具有独立承担民事责任的能力，并持有有效的食品经营许可证</w:t>
      </w:r>
      <w:r>
        <w:rPr>
          <w:rFonts w:hint="eastAsia" w:ascii="仿宋" w:hAnsi="仿宋" w:eastAsia="仿宋" w:cs="仿宋"/>
          <w:sz w:val="24"/>
          <w:szCs w:val="24"/>
          <w:lang w:val="en-US" w:eastAsia="zh-CN"/>
        </w:rPr>
        <w:t>或县级及以上行政审批部门颁发的小餐饮信息公示卡</w:t>
      </w:r>
      <w:r>
        <w:rPr>
          <w:rFonts w:hint="eastAsia" w:ascii="仿宋" w:hAnsi="仿宋" w:eastAsia="仿宋" w:cs="仿宋"/>
          <w:sz w:val="24"/>
          <w:szCs w:val="24"/>
          <w:lang w:eastAsia="zh-CN"/>
        </w:rPr>
        <w:t>。</w:t>
      </w:r>
    </w:p>
    <w:p w14:paraId="28DCE82E">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三、获取</w:t>
      </w:r>
      <w:bookmarkEnd w:id="26"/>
      <w:bookmarkEnd w:id="27"/>
      <w:bookmarkEnd w:id="28"/>
      <w:bookmarkEnd w:id="29"/>
      <w:bookmarkEnd w:id="30"/>
      <w:r>
        <w:rPr>
          <w:rFonts w:hint="eastAsia" w:ascii="仿宋" w:hAnsi="仿宋" w:eastAsia="仿宋" w:cs="仿宋"/>
          <w:b/>
          <w:bCs/>
          <w:sz w:val="32"/>
          <w:szCs w:val="32"/>
          <w:lang w:val="en-US" w:eastAsia="zh-CN"/>
        </w:rPr>
        <w:t>磋商</w:t>
      </w:r>
      <w:r>
        <w:rPr>
          <w:rFonts w:hint="eastAsia" w:ascii="仿宋" w:hAnsi="仿宋" w:eastAsia="仿宋" w:cs="仿宋"/>
          <w:b/>
          <w:bCs/>
          <w:sz w:val="32"/>
          <w:szCs w:val="32"/>
        </w:rPr>
        <w:t>文件</w:t>
      </w:r>
    </w:p>
    <w:p w14:paraId="29C345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bookmarkStart w:id="31" w:name="_Toc28359082"/>
      <w:bookmarkStart w:id="32" w:name="_Toc38985266"/>
      <w:bookmarkStart w:id="33" w:name="_Toc28359005"/>
      <w:bookmarkStart w:id="34" w:name="_Toc35393624"/>
      <w:bookmarkStart w:id="35" w:name="_Toc35393793"/>
      <w:r>
        <w:rPr>
          <w:rFonts w:hint="eastAsia" w:ascii="仿宋" w:hAnsi="仿宋" w:eastAsia="仿宋" w:cs="仿宋"/>
          <w:sz w:val="24"/>
          <w:szCs w:val="24"/>
          <w:lang w:val="en-US" w:eastAsia="zh-CN"/>
        </w:rPr>
        <w:t>1.时间：自本公告发布之日起5个工作日。</w:t>
      </w:r>
    </w:p>
    <w:p w14:paraId="73D68E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2.地点：“江苏政府采购网”</w:t>
      </w:r>
    </w:p>
    <w:p w14:paraId="70324AD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3.方式：凡有意参与投标的供应商须登录江苏政府采购网首页点击“苏采云”→通过CA锁进行响应确认，并自行在磋商文件有效获取期内及时下载获取。</w:t>
      </w:r>
    </w:p>
    <w:p w14:paraId="309034A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4.售价：免费</w:t>
      </w:r>
    </w:p>
    <w:p w14:paraId="4090487A">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w:t>
      </w:r>
      <w:bookmarkEnd w:id="31"/>
      <w:bookmarkEnd w:id="32"/>
      <w:bookmarkEnd w:id="33"/>
      <w:bookmarkEnd w:id="34"/>
      <w:bookmarkEnd w:id="35"/>
      <w:r>
        <w:rPr>
          <w:rFonts w:hint="eastAsia" w:ascii="仿宋" w:hAnsi="仿宋" w:eastAsia="仿宋" w:cs="仿宋"/>
          <w:b/>
          <w:bCs/>
          <w:sz w:val="32"/>
          <w:szCs w:val="32"/>
          <w:lang w:val="en-US" w:eastAsia="zh-CN"/>
        </w:rPr>
        <w:t>响应文件提交</w:t>
      </w:r>
    </w:p>
    <w:p w14:paraId="1459391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1.截止时间：2025年12月16日8点30分（北京时间）。逾时，系统将拒绝接受上传响应文件电子文档。</w:t>
      </w:r>
    </w:p>
    <w:p w14:paraId="54DA3C4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2.地点：“苏采云”政府采购一体化平台。</w:t>
      </w:r>
    </w:p>
    <w:p w14:paraId="593BE759">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bookmarkStart w:id="36" w:name="_Toc38985267"/>
      <w:bookmarkStart w:id="37" w:name="_Toc28359007"/>
      <w:bookmarkStart w:id="38" w:name="_Toc35393625"/>
      <w:bookmarkStart w:id="39" w:name="_Toc28359084"/>
      <w:bookmarkStart w:id="40" w:name="_Toc35393794"/>
      <w:r>
        <w:rPr>
          <w:rFonts w:hint="eastAsia" w:ascii="仿宋" w:hAnsi="仿宋" w:eastAsia="仿宋" w:cs="仿宋"/>
          <w:b/>
          <w:bCs/>
          <w:sz w:val="32"/>
          <w:szCs w:val="32"/>
        </w:rPr>
        <w:t>五、公告期限</w:t>
      </w:r>
      <w:bookmarkEnd w:id="36"/>
      <w:bookmarkEnd w:id="37"/>
      <w:bookmarkEnd w:id="38"/>
      <w:bookmarkEnd w:id="39"/>
      <w:bookmarkEnd w:id="40"/>
    </w:p>
    <w:p w14:paraId="7BF5A7C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bookmarkStart w:id="41" w:name="_Toc35393626"/>
      <w:bookmarkStart w:id="42" w:name="_Toc38985268"/>
      <w:bookmarkStart w:id="43" w:name="_Toc35393795"/>
      <w:r>
        <w:rPr>
          <w:rFonts w:hint="eastAsia" w:ascii="仿宋" w:hAnsi="仿宋" w:eastAsia="仿宋" w:cs="仿宋"/>
          <w:sz w:val="24"/>
          <w:szCs w:val="24"/>
          <w:lang w:val="en-US" w:eastAsia="zh-CN"/>
        </w:rPr>
        <w:t>自本公告发布之日起3个工作日。</w:t>
      </w:r>
    </w:p>
    <w:p w14:paraId="1511EC80">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lang w:eastAsia="zh-CN"/>
        </w:rPr>
        <w:t>六、</w:t>
      </w:r>
      <w:r>
        <w:rPr>
          <w:rFonts w:hint="eastAsia" w:ascii="仿宋" w:hAnsi="仿宋" w:eastAsia="仿宋" w:cs="仿宋"/>
          <w:b/>
          <w:bCs/>
          <w:sz w:val="32"/>
          <w:szCs w:val="32"/>
        </w:rPr>
        <w:t>其他补充事宜</w:t>
      </w:r>
      <w:bookmarkEnd w:id="41"/>
      <w:bookmarkEnd w:id="42"/>
      <w:bookmarkEnd w:id="43"/>
    </w:p>
    <w:p w14:paraId="1AE41BD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bookmarkStart w:id="44" w:name="_Toc28359008"/>
      <w:bookmarkStart w:id="45" w:name="_Toc35393796"/>
      <w:bookmarkStart w:id="46" w:name="_Toc28359085"/>
      <w:bookmarkStart w:id="47" w:name="_Toc35393627"/>
      <w:bookmarkStart w:id="48" w:name="_Toc38985269"/>
      <w:r>
        <w:rPr>
          <w:rFonts w:hint="eastAsia" w:ascii="仿宋" w:hAnsi="仿宋" w:eastAsia="仿宋" w:cs="仿宋"/>
          <w:sz w:val="24"/>
          <w:szCs w:val="24"/>
          <w:lang w:val="en-US" w:eastAsia="zh-CN"/>
        </w:rPr>
        <w:t>1.项目磋商活动模式：不见面远程磋商模式。</w:t>
      </w:r>
    </w:p>
    <w:p w14:paraId="55F6F98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p>
    <w:p w14:paraId="221ED571">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0D5BD7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44"/>
    <w:bookmarkEnd w:id="45"/>
    <w:bookmarkEnd w:id="46"/>
    <w:bookmarkEnd w:id="47"/>
    <w:bookmarkEnd w:id="48"/>
    <w:p w14:paraId="56A256DC">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lang w:val="en-US" w:eastAsia="zh-CN"/>
        </w:rPr>
      </w:pPr>
      <w:bookmarkStart w:id="49" w:name="_Toc28359010"/>
      <w:bookmarkStart w:id="50" w:name="_Toc28359087"/>
      <w:r>
        <w:rPr>
          <w:rFonts w:hint="eastAsia" w:ascii="仿宋" w:hAnsi="仿宋" w:eastAsia="仿宋" w:cs="仿宋"/>
          <w:b/>
          <w:bCs/>
          <w:sz w:val="32"/>
          <w:szCs w:val="32"/>
        </w:rPr>
        <w:t>七、</w:t>
      </w:r>
      <w:r>
        <w:rPr>
          <w:rFonts w:hint="eastAsia" w:ascii="仿宋" w:hAnsi="仿宋" w:eastAsia="仿宋" w:cs="仿宋"/>
          <w:b/>
          <w:bCs/>
          <w:sz w:val="32"/>
          <w:szCs w:val="32"/>
          <w:lang w:val="en-US" w:eastAsia="zh-CN"/>
        </w:rPr>
        <w:t>凡对本次采购提出询问，请按以下方式联系</w:t>
      </w:r>
    </w:p>
    <w:p w14:paraId="230AB43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1.采购人信息</w:t>
      </w:r>
    </w:p>
    <w:p w14:paraId="42007AB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  称： 如东县公安局</w:t>
      </w:r>
    </w:p>
    <w:p w14:paraId="2F87658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地  址： 如东县长江路1号    联系方式：13773780198</w:t>
      </w:r>
    </w:p>
    <w:p w14:paraId="1B68DE3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2.采购招标代理机构信息</w:t>
      </w:r>
    </w:p>
    <w:p w14:paraId="6F00668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    称：江苏富华工程造价咨询有限公司</w:t>
      </w:r>
    </w:p>
    <w:p w14:paraId="0B44BA1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    址：如东县公共资源代理机构一楼富华窗口</w:t>
      </w:r>
    </w:p>
    <w:p w14:paraId="5DBA80F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 系 人：吴工              联系方式：15996689128</w:t>
      </w:r>
    </w:p>
    <w:p w14:paraId="574540F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3.项目联系方式</w:t>
      </w:r>
    </w:p>
    <w:p w14:paraId="0032B6E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项目联系人：杨女士          联系电话：13773780198</w:t>
      </w:r>
    </w:p>
    <w:p w14:paraId="624EC54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顾先生          联系电话：13862786110</w:t>
      </w:r>
    </w:p>
    <w:p w14:paraId="2B87019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4.软件维护人员</w:t>
      </w:r>
    </w:p>
    <w:p w14:paraId="2684B27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联系方式：0519-86722801、0519-86722806  </w:t>
      </w:r>
    </w:p>
    <w:bookmarkEnd w:id="49"/>
    <w:bookmarkEnd w:id="50"/>
    <w:p w14:paraId="5986F101">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八、其他</w:t>
      </w:r>
    </w:p>
    <w:p w14:paraId="57B65E7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 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0B11F57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领取CA和办理电子签章请至南通市政务服务中心裙楼四楼（南通市公共资源代理机构）CA办理窗口办理，详见《江苏省政府采购数字证书(供应商)CA及电子签章办理指南》），请及时进行注册并按要求制作、上传电子投标文件。</w:t>
      </w:r>
    </w:p>
    <w:p w14:paraId="759D35F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有关本次磋商的事项若存在变动或修改，敬请及时关注如东县公共资源代理机构在“江苏政府采购网”发布的更正公告。</w:t>
      </w:r>
    </w:p>
    <w:p w14:paraId="1095810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本次磋商不收取磋商保证金。</w:t>
      </w:r>
    </w:p>
    <w:p w14:paraId="54E8EBDC">
      <w:pPr>
        <w:snapToGrid w:val="0"/>
        <w:spacing w:before="120" w:after="120"/>
        <w:rPr>
          <w:rFonts w:hint="eastAsia" w:ascii="仿宋" w:hAnsi="仿宋" w:eastAsia="仿宋" w:cs="仿宋"/>
          <w:color w:val="000000"/>
          <w:sz w:val="24"/>
          <w:szCs w:val="24"/>
          <w:lang w:val="en-US" w:eastAsia="zh-CN"/>
        </w:rPr>
      </w:pPr>
    </w:p>
    <w:p w14:paraId="43A4800D">
      <w:pPr>
        <w:snapToGrid w:val="0"/>
        <w:spacing w:before="120" w:after="120"/>
        <w:rPr>
          <w:rFonts w:hint="eastAsia" w:ascii="仿宋" w:hAnsi="仿宋" w:eastAsia="仿宋" w:cs="仿宋"/>
          <w:color w:val="000000"/>
          <w:sz w:val="24"/>
          <w:szCs w:val="24"/>
          <w:lang w:val="en-US" w:eastAsia="zh-CN"/>
        </w:rPr>
      </w:pPr>
    </w:p>
    <w:p w14:paraId="6093032D">
      <w:pPr>
        <w:keepNext w:val="0"/>
        <w:keepLines w:val="0"/>
        <w:pageBreakBefore w:val="0"/>
        <w:widowControl w:val="0"/>
        <w:kinsoku/>
        <w:wordWrap/>
        <w:overflowPunct/>
        <w:topLinePunct w:val="0"/>
        <w:autoSpaceDE/>
        <w:autoSpaceDN/>
        <w:bidi w:val="0"/>
        <w:adjustRightInd/>
        <w:snapToGrid/>
        <w:spacing w:beforeLines="50" w:afterLines="50" w:line="360" w:lineRule="auto"/>
        <w:ind w:firstLine="436" w:firstLineChars="155"/>
        <w:jc w:val="center"/>
        <w:textAlignment w:val="auto"/>
        <w:outlineLvl w:val="0"/>
        <w:rPr>
          <w:rFonts w:hint="eastAsia" w:ascii="黑体" w:hAnsi="黑体" w:eastAsia="黑体" w:cs="黑体"/>
          <w:b/>
          <w:bCs/>
          <w:sz w:val="32"/>
          <w:szCs w:val="32"/>
        </w:rPr>
      </w:pPr>
      <w:bookmarkStart w:id="51" w:name="_Toc120614211"/>
      <w:r>
        <w:rPr>
          <w:rFonts w:hint="eastAsia" w:ascii="仿宋" w:hAnsi="仿宋" w:eastAsia="仿宋" w:cs="仿宋"/>
          <w:b/>
          <w:color w:val="auto"/>
          <w:sz w:val="28"/>
          <w:szCs w:val="28"/>
        </w:rPr>
        <w:br w:type="page"/>
      </w:r>
      <w:bookmarkStart w:id="52" w:name="_Toc5468"/>
      <w:bookmarkStart w:id="53" w:name="_Toc5341"/>
      <w:bookmarkStart w:id="54" w:name="_Toc16207"/>
      <w:r>
        <w:rPr>
          <w:rFonts w:hint="eastAsia" w:ascii="仿宋" w:hAnsi="仿宋" w:eastAsia="仿宋" w:cs="仿宋"/>
          <w:b/>
          <w:bCs/>
          <w:sz w:val="44"/>
          <w:szCs w:val="44"/>
        </w:rPr>
        <w:t xml:space="preserve">第二章  </w:t>
      </w:r>
      <w:bookmarkEnd w:id="7"/>
      <w:bookmarkEnd w:id="8"/>
      <w:bookmarkEnd w:id="9"/>
      <w:bookmarkEnd w:id="10"/>
      <w:bookmarkEnd w:id="11"/>
      <w:bookmarkEnd w:id="51"/>
      <w:r>
        <w:rPr>
          <w:rFonts w:hint="eastAsia" w:ascii="仿宋" w:hAnsi="仿宋" w:eastAsia="仿宋" w:cs="仿宋"/>
          <w:b/>
          <w:bCs/>
          <w:sz w:val="44"/>
          <w:szCs w:val="44"/>
        </w:rPr>
        <w:t>供应商须知</w:t>
      </w:r>
      <w:bookmarkEnd w:id="52"/>
      <w:bookmarkEnd w:id="53"/>
      <w:bookmarkEnd w:id="54"/>
    </w:p>
    <w:p w14:paraId="2F5C67D6">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55" w:name="_Toc20823275"/>
      <w:bookmarkStart w:id="56" w:name="_Toc120614214"/>
      <w:bookmarkStart w:id="57" w:name="_Toc16938519"/>
      <w:bookmarkStart w:id="58" w:name="_Toc513029203"/>
      <w:r>
        <w:rPr>
          <w:rFonts w:hint="eastAsia" w:ascii="仿宋" w:hAnsi="仿宋" w:eastAsia="仿宋" w:cs="仿宋"/>
          <w:b/>
          <w:bCs/>
          <w:sz w:val="32"/>
          <w:szCs w:val="32"/>
        </w:rPr>
        <w:t>一、总则</w:t>
      </w:r>
      <w:bookmarkEnd w:id="55"/>
      <w:bookmarkEnd w:id="56"/>
      <w:bookmarkEnd w:id="57"/>
      <w:bookmarkEnd w:id="58"/>
    </w:p>
    <w:p w14:paraId="283B8C52">
      <w:pPr>
        <w:keepNext w:val="0"/>
        <w:keepLines w:val="0"/>
        <w:pageBreakBefore w:val="0"/>
        <w:widowControl w:val="0"/>
        <w:kinsoku/>
        <w:wordWrap/>
        <w:overflowPunct/>
        <w:topLinePunct w:val="0"/>
        <w:autoSpaceDE/>
        <w:autoSpaceDN/>
        <w:bidi w:val="0"/>
        <w:adjustRightInd/>
        <w:snapToGrid/>
        <w:spacing w:line="400" w:lineRule="atLeast"/>
        <w:ind w:left="480"/>
        <w:textAlignment w:val="auto"/>
        <w:rPr>
          <w:rFonts w:hint="eastAsia" w:ascii="仿宋" w:hAnsi="仿宋" w:eastAsia="仿宋" w:cs="仿宋"/>
          <w:b/>
          <w:bCs/>
          <w:sz w:val="28"/>
          <w:szCs w:val="28"/>
        </w:rPr>
      </w:pPr>
      <w:bookmarkStart w:id="59" w:name="_Hlt16619475"/>
      <w:bookmarkEnd w:id="59"/>
      <w:bookmarkStart w:id="60" w:name="_Toc458694821"/>
      <w:bookmarkStart w:id="61" w:name="_Toc20823276"/>
      <w:bookmarkStart w:id="62" w:name="_Toc16938520"/>
      <w:bookmarkStart w:id="63" w:name="_Toc513029204"/>
      <w:r>
        <w:rPr>
          <w:rFonts w:hint="eastAsia" w:ascii="仿宋" w:hAnsi="仿宋" w:eastAsia="仿宋" w:cs="仿宋"/>
          <w:b/>
          <w:bCs/>
          <w:sz w:val="28"/>
          <w:szCs w:val="28"/>
        </w:rPr>
        <w:t>1</w:t>
      </w:r>
      <w:bookmarkEnd w:id="60"/>
      <w:r>
        <w:rPr>
          <w:rFonts w:hint="eastAsia" w:ascii="仿宋" w:hAnsi="仿宋" w:eastAsia="仿宋" w:cs="仿宋"/>
          <w:b/>
          <w:bCs/>
          <w:sz w:val="28"/>
          <w:szCs w:val="28"/>
        </w:rPr>
        <w:t>、采购方式</w:t>
      </w:r>
      <w:bookmarkEnd w:id="61"/>
      <w:bookmarkEnd w:id="62"/>
      <w:bookmarkEnd w:id="63"/>
    </w:p>
    <w:p w14:paraId="224A0AD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 本次政府采购活动采取竞争性磋商(以下简称磋商)方式，本磋商文件仅适用于磋商公告中所述项目。</w:t>
      </w:r>
    </w:p>
    <w:p w14:paraId="7B54684D">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64" w:name="_Toc16938521"/>
      <w:bookmarkStart w:id="65" w:name="_Toc20823277"/>
      <w:bookmarkStart w:id="66" w:name="_Toc513029205"/>
      <w:r>
        <w:rPr>
          <w:rFonts w:hint="eastAsia" w:ascii="仿宋" w:hAnsi="仿宋" w:eastAsia="仿宋" w:cs="仿宋"/>
          <w:b/>
          <w:bCs/>
          <w:sz w:val="28"/>
          <w:szCs w:val="28"/>
        </w:rPr>
        <w:t>2、合格的</w:t>
      </w:r>
      <w:bookmarkEnd w:id="64"/>
      <w:bookmarkEnd w:id="65"/>
      <w:bookmarkEnd w:id="66"/>
      <w:r>
        <w:rPr>
          <w:rFonts w:hint="eastAsia" w:ascii="仿宋" w:hAnsi="仿宋" w:eastAsia="仿宋" w:cs="仿宋"/>
          <w:b/>
          <w:bCs/>
          <w:sz w:val="28"/>
          <w:szCs w:val="28"/>
        </w:rPr>
        <w:t>供应商</w:t>
      </w:r>
    </w:p>
    <w:p w14:paraId="24CF7D1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2.1满足磋商公告中供应商资格要求的规定。</w:t>
      </w:r>
    </w:p>
    <w:p w14:paraId="7304869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 满足本磋商文件实质性要求的规定。</w:t>
      </w:r>
    </w:p>
    <w:p w14:paraId="3829A360">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67" w:name="_Toc513029206"/>
      <w:bookmarkStart w:id="68" w:name="_Toc20823278"/>
      <w:bookmarkStart w:id="69" w:name="_Toc16938522"/>
      <w:r>
        <w:rPr>
          <w:rFonts w:hint="eastAsia" w:ascii="仿宋" w:hAnsi="仿宋" w:eastAsia="仿宋" w:cs="仿宋"/>
          <w:b/>
          <w:bCs/>
          <w:sz w:val="28"/>
          <w:szCs w:val="28"/>
        </w:rPr>
        <w:t>3、适用法律</w:t>
      </w:r>
      <w:bookmarkEnd w:id="67"/>
      <w:bookmarkEnd w:id="68"/>
      <w:bookmarkEnd w:id="69"/>
    </w:p>
    <w:p w14:paraId="671CB266">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 本次磋商及由此产生的合同受中华人民共和国有关的法律法规制约和保护。</w:t>
      </w:r>
    </w:p>
    <w:p w14:paraId="3ADED845">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70" w:name="_Toc513029207"/>
      <w:bookmarkStart w:id="71" w:name="_Toc462564067"/>
      <w:bookmarkStart w:id="72" w:name="_Toc20823279"/>
      <w:bookmarkStart w:id="73" w:name="_Toc16938523"/>
      <w:r>
        <w:rPr>
          <w:rFonts w:hint="eastAsia" w:ascii="仿宋" w:hAnsi="仿宋" w:eastAsia="仿宋" w:cs="仿宋"/>
          <w:b/>
          <w:bCs/>
          <w:sz w:val="28"/>
          <w:szCs w:val="28"/>
        </w:rPr>
        <w:t>4、磋商费用</w:t>
      </w:r>
      <w:bookmarkEnd w:id="70"/>
      <w:bookmarkEnd w:id="71"/>
      <w:bookmarkEnd w:id="72"/>
      <w:bookmarkEnd w:id="73"/>
    </w:p>
    <w:p w14:paraId="230159F6">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4.1供应商应自行承担所有与参加本次磋商有关的费用，无论磋商过程中的做法和结果如何，均由自行承担这些费用。</w:t>
      </w:r>
    </w:p>
    <w:p w14:paraId="7F97E1E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4.2本项目招标代理费由成交供应商支付，招标代理费金额根据江苏省招标投标协会【苏招协（2022）002号】收费标准*40%计取，在领取《成交通知书》时向招标代理机构缴纳，请各投标供应商将此费用一并计入投标报价中。</w:t>
      </w:r>
    </w:p>
    <w:p w14:paraId="324E7592">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5、磋商文件的约束力</w:t>
      </w:r>
    </w:p>
    <w:p w14:paraId="255CA86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5.1供应商一旦参加本项目采购活动，即被认为接受了本磋商文件的规定和约束。</w:t>
      </w:r>
    </w:p>
    <w:p w14:paraId="10ECEC34">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74" w:name="_Toc20823281"/>
      <w:bookmarkStart w:id="75" w:name="_Toc16938525"/>
      <w:bookmarkStart w:id="76" w:name="_Toc120614215"/>
      <w:bookmarkStart w:id="77" w:name="_Toc513029209"/>
      <w:r>
        <w:rPr>
          <w:rFonts w:hint="eastAsia" w:ascii="仿宋" w:hAnsi="仿宋" w:eastAsia="仿宋" w:cs="仿宋"/>
          <w:b/>
          <w:bCs/>
          <w:sz w:val="32"/>
          <w:szCs w:val="32"/>
        </w:rPr>
        <w:t>二、</w:t>
      </w:r>
      <w:bookmarkEnd w:id="74"/>
      <w:bookmarkEnd w:id="75"/>
      <w:bookmarkEnd w:id="76"/>
      <w:bookmarkEnd w:id="77"/>
      <w:r>
        <w:rPr>
          <w:rFonts w:hint="eastAsia" w:ascii="仿宋" w:hAnsi="仿宋" w:eastAsia="仿宋" w:cs="仿宋"/>
          <w:b/>
          <w:bCs/>
          <w:sz w:val="32"/>
          <w:szCs w:val="32"/>
        </w:rPr>
        <w:t>磋商文件</w:t>
      </w:r>
    </w:p>
    <w:p w14:paraId="0B7F6835">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78" w:name="_Toc16938526"/>
      <w:bookmarkStart w:id="79" w:name="_Toc513029210"/>
      <w:bookmarkStart w:id="80" w:name="_Toc20823282"/>
      <w:r>
        <w:rPr>
          <w:rFonts w:hint="eastAsia" w:ascii="仿宋" w:hAnsi="仿宋" w:eastAsia="仿宋" w:cs="仿宋"/>
          <w:b/>
          <w:bCs/>
          <w:sz w:val="28"/>
          <w:szCs w:val="28"/>
        </w:rPr>
        <w:t>6、磋商文件构成</w:t>
      </w:r>
      <w:bookmarkEnd w:id="78"/>
      <w:bookmarkEnd w:id="79"/>
      <w:bookmarkEnd w:id="80"/>
    </w:p>
    <w:p w14:paraId="40DC89C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6.1磋商文件由以下部分组成：</w:t>
      </w:r>
    </w:p>
    <w:p w14:paraId="0522CF4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（1）磋商邀请</w:t>
      </w:r>
    </w:p>
    <w:p w14:paraId="2E0272D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（2）供应商须知</w:t>
      </w:r>
    </w:p>
    <w:p w14:paraId="47EB19B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（3）合同文本</w:t>
      </w:r>
    </w:p>
    <w:p w14:paraId="5BC0128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（4）采购需求</w:t>
      </w:r>
    </w:p>
    <w:p w14:paraId="21179DE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（5）评审方法与评审标准</w:t>
      </w:r>
    </w:p>
    <w:p w14:paraId="2985054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（6）响应文件格式</w:t>
      </w:r>
    </w:p>
    <w:p w14:paraId="0B0CF04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请仔细检查磋商文件是否齐全，如有缺漏请立即与代理机构联系解决。</w:t>
      </w:r>
    </w:p>
    <w:p w14:paraId="481D7A3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50E9BA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81" w:name="_Toc16938527"/>
      <w:bookmarkStart w:id="82" w:name="_Toc462564070"/>
      <w:bookmarkStart w:id="83" w:name="_Toc20823283"/>
      <w:bookmarkStart w:id="84" w:name="_Toc513029211"/>
      <w:r>
        <w:rPr>
          <w:rFonts w:hint="eastAsia" w:ascii="仿宋" w:hAnsi="仿宋" w:eastAsia="仿宋" w:cs="仿宋"/>
          <w:b/>
          <w:bCs/>
          <w:sz w:val="28"/>
          <w:szCs w:val="28"/>
        </w:rPr>
        <w:t>7、磋商文件的澄清</w:t>
      </w:r>
      <w:bookmarkEnd w:id="81"/>
      <w:bookmarkEnd w:id="82"/>
      <w:bookmarkEnd w:id="83"/>
      <w:bookmarkEnd w:id="84"/>
    </w:p>
    <w:p w14:paraId="55FD391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 任何要求对磋商文件进行澄清的供应商，应在磋商截止期5日前按磋商公告中的通讯地址，以书面形式通知采购人。采购人有权对发出的磋商文件进行必要的澄清或修改。</w:t>
      </w:r>
    </w:p>
    <w:p w14:paraId="340D36E6">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85" w:name="_Toc462564071"/>
      <w:bookmarkStart w:id="86" w:name="_Toc20823284"/>
      <w:bookmarkStart w:id="87" w:name="_Toc16938528"/>
      <w:bookmarkStart w:id="88" w:name="_Toc513029212"/>
      <w:r>
        <w:rPr>
          <w:rFonts w:hint="eastAsia" w:ascii="仿宋" w:hAnsi="仿宋" w:eastAsia="仿宋" w:cs="仿宋"/>
          <w:b/>
          <w:bCs/>
          <w:sz w:val="28"/>
          <w:szCs w:val="28"/>
        </w:rPr>
        <w:t>8、磋商文件的澄清和修改</w:t>
      </w:r>
      <w:bookmarkEnd w:id="85"/>
      <w:bookmarkEnd w:id="86"/>
      <w:bookmarkEnd w:id="87"/>
      <w:bookmarkEnd w:id="88"/>
    </w:p>
    <w:p w14:paraId="2B4D420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p>
    <w:p w14:paraId="12374F6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8.2采购人可以视采购项目的具体情况，组织供应商进行现场考察或召开磋商前答疑会，但不单独或分别组织只有一个供应商参加的现场考察和答疑会。</w:t>
      </w:r>
    </w:p>
    <w:p w14:paraId="6BC33DF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89" w:name="_Toc513029213"/>
      <w:bookmarkStart w:id="90" w:name="_Toc462564072"/>
      <w:bookmarkStart w:id="91" w:name="_Toc120614216"/>
      <w:bookmarkStart w:id="92" w:name="_Toc20823285"/>
      <w:bookmarkStart w:id="93" w:name="_Toc16938529"/>
      <w:r>
        <w:rPr>
          <w:rFonts w:hint="eastAsia" w:ascii="仿宋" w:hAnsi="仿宋" w:eastAsia="仿宋" w:cs="仿宋"/>
          <w:b/>
          <w:bCs/>
          <w:sz w:val="32"/>
          <w:szCs w:val="32"/>
        </w:rPr>
        <w:t>三、响应文件的编制</w:t>
      </w:r>
      <w:bookmarkEnd w:id="89"/>
      <w:bookmarkEnd w:id="90"/>
      <w:bookmarkEnd w:id="91"/>
      <w:bookmarkEnd w:id="92"/>
      <w:bookmarkEnd w:id="93"/>
    </w:p>
    <w:p w14:paraId="747149CB">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94" w:name="_Toc16938530"/>
      <w:bookmarkStart w:id="95" w:name="_Toc513029214"/>
      <w:bookmarkStart w:id="96" w:name="_Toc462564073"/>
      <w:bookmarkStart w:id="97" w:name="_Toc20823286"/>
      <w:r>
        <w:rPr>
          <w:rFonts w:hint="eastAsia" w:ascii="仿宋" w:hAnsi="仿宋" w:eastAsia="仿宋" w:cs="仿宋"/>
          <w:b/>
          <w:bCs/>
          <w:sz w:val="28"/>
          <w:szCs w:val="28"/>
        </w:rPr>
        <w:t>9、响应文件的语言及度量衡单位</w:t>
      </w:r>
      <w:bookmarkEnd w:id="94"/>
      <w:bookmarkEnd w:id="95"/>
      <w:bookmarkEnd w:id="96"/>
      <w:bookmarkEnd w:id="97"/>
    </w:p>
    <w:p w14:paraId="238B582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rPr>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w:t>
      </w:r>
      <w:r>
        <w:rPr>
          <w:rFonts w:hint="eastAsia" w:ascii="仿宋" w:hAnsi="仿宋" w:eastAsia="仿宋" w:cs="仿宋"/>
          <w:sz w:val="24"/>
          <w:szCs w:val="21"/>
          <w:lang w:val="en-US" w:eastAsia="zh-CN"/>
        </w:rPr>
        <w:t>及采购人</w:t>
      </w:r>
      <w:r>
        <w:rPr>
          <w:rFonts w:hint="eastAsia" w:ascii="仿宋" w:hAnsi="仿宋" w:eastAsia="仿宋" w:cs="仿宋"/>
          <w:sz w:val="24"/>
          <w:szCs w:val="21"/>
        </w:rPr>
        <w:t>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0478477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3D82B7D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98" w:name="_Toc20823287"/>
      <w:bookmarkStart w:id="99" w:name="_Toc16938531"/>
      <w:bookmarkStart w:id="100" w:name="_Toc462564074"/>
      <w:bookmarkStart w:id="101" w:name="_Toc513029215"/>
      <w:r>
        <w:rPr>
          <w:rFonts w:hint="eastAsia" w:ascii="仿宋" w:hAnsi="仿宋" w:eastAsia="仿宋" w:cs="仿宋"/>
          <w:b/>
          <w:bCs/>
          <w:sz w:val="28"/>
          <w:szCs w:val="28"/>
        </w:rPr>
        <w:t>10、响应文件构成</w:t>
      </w:r>
      <w:bookmarkEnd w:id="98"/>
      <w:bookmarkEnd w:id="99"/>
      <w:bookmarkEnd w:id="100"/>
      <w:bookmarkEnd w:id="101"/>
    </w:p>
    <w:p w14:paraId="16ADCD2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10.1供应商编写的响应文件应包括资格证明文件、实质性要求响应及偏离表、分项报价表、技术要求响应及偏离表、商务要求响应及偏离表、其他证明文件、磋商响应函等部分。供应商按“第六章  响应文件格式”要求编写响应文件。</w:t>
      </w:r>
    </w:p>
    <w:p w14:paraId="0170DC6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10.2 如标书制作工具中格式和内容与“江苏政府采购网”发布的磋商文件不一致，请以“江苏政府采购网”发布的磋商文件为准。</w:t>
      </w:r>
    </w:p>
    <w:p w14:paraId="4AD586D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02" w:name="_Hlt26670360"/>
      <w:bookmarkEnd w:id="102"/>
      <w:bookmarkStart w:id="103" w:name="_Hlt26668975"/>
      <w:bookmarkEnd w:id="103"/>
      <w:bookmarkStart w:id="104" w:name="_Hlt26954838"/>
      <w:bookmarkEnd w:id="104"/>
      <w:bookmarkStart w:id="105" w:name="_Toc513029219"/>
      <w:bookmarkStart w:id="106" w:name="_Toc14577357"/>
      <w:bookmarkStart w:id="107" w:name="_Toc49090509"/>
      <w:bookmarkStart w:id="108" w:name="_Toc14577354"/>
      <w:bookmarkStart w:id="109" w:name="_Toc49090507"/>
      <w:bookmarkStart w:id="110" w:name="_Toc513029216"/>
      <w:bookmarkStart w:id="111" w:name="_Toc14577355"/>
      <w:bookmarkStart w:id="112" w:name="_Toc49090508"/>
      <w:r>
        <w:rPr>
          <w:rFonts w:hint="eastAsia" w:ascii="仿宋" w:hAnsi="仿宋" w:eastAsia="仿宋" w:cs="仿宋"/>
          <w:b/>
          <w:bCs/>
          <w:sz w:val="28"/>
          <w:szCs w:val="28"/>
        </w:rPr>
        <w:t>11、证明磋商响应标的符合磋商文件规定的文件</w:t>
      </w:r>
      <w:bookmarkEnd w:id="105"/>
      <w:bookmarkEnd w:id="106"/>
      <w:bookmarkEnd w:id="107"/>
    </w:p>
    <w:bookmarkEnd w:id="108"/>
    <w:bookmarkEnd w:id="109"/>
    <w:bookmarkEnd w:id="110"/>
    <w:p w14:paraId="3A0E815B">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11.1供应商应按照磋商文件要求提交证明文件，证明其及磋商响应标的符合磋商文件规定。</w:t>
      </w:r>
    </w:p>
    <w:p w14:paraId="2DCD4C1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11.2磋商文件对证明文件无明确形式要求的，证明文件可以以文字资料、图纸和数据等形式提交。</w:t>
      </w:r>
    </w:p>
    <w:bookmarkEnd w:id="111"/>
    <w:bookmarkEnd w:id="112"/>
    <w:p w14:paraId="2E5A65C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12、分项报价表</w:t>
      </w:r>
    </w:p>
    <w:p w14:paraId="5B109DB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12.1供应商应按照磋商文件规定格式填报分项报价表。</w:t>
      </w:r>
    </w:p>
    <w:p w14:paraId="03A3D68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12.2磋商货币。响应文件中的单价和总价无特殊规定的采用人民币报价，以元为单位标注。磋商文件中另有规定的按规定执行。</w:t>
      </w:r>
    </w:p>
    <w:p w14:paraId="1781E6B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13" w:name="_Hlt26954846"/>
      <w:bookmarkEnd w:id="113"/>
      <w:bookmarkStart w:id="114" w:name="_Hlt26954731"/>
      <w:bookmarkEnd w:id="114"/>
      <w:bookmarkStart w:id="115" w:name="_Hlt26954848"/>
      <w:bookmarkEnd w:id="115"/>
      <w:bookmarkStart w:id="116" w:name="_Hlt26670486"/>
      <w:bookmarkEnd w:id="116"/>
      <w:bookmarkStart w:id="117" w:name="_Hlt26670482"/>
      <w:bookmarkEnd w:id="117"/>
      <w:r>
        <w:rPr>
          <w:rFonts w:hint="eastAsia" w:ascii="仿宋" w:hAnsi="仿宋" w:eastAsia="仿宋" w:cs="仿宋"/>
          <w:b/>
          <w:bCs/>
          <w:sz w:val="28"/>
          <w:szCs w:val="28"/>
        </w:rPr>
        <w:t>13、技术要求响应及偏离表、商务要求响应及偏离表</w:t>
      </w:r>
    </w:p>
    <w:p w14:paraId="5D2569B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13.1</w:t>
      </w:r>
      <w:r>
        <w:rPr>
          <w:rFonts w:hint="eastAsia" w:ascii="仿宋" w:hAnsi="仿宋" w:eastAsia="仿宋" w:cs="仿宋"/>
          <w:sz w:val="24"/>
          <w:szCs w:val="24"/>
          <w:lang w:val="en-US" w:eastAsia="zh-CN"/>
        </w:rPr>
        <w:t>供应商须</w:t>
      </w:r>
      <w:r>
        <w:rPr>
          <w:rFonts w:hint="eastAsia" w:ascii="仿宋" w:hAnsi="仿宋" w:eastAsia="仿宋" w:cs="仿宋"/>
          <w:sz w:val="24"/>
          <w:szCs w:val="24"/>
          <w:lang w:val="zh-CN" w:eastAsia="zh-CN"/>
        </w:rPr>
        <w:t>对磋商文件中的技术要求与商务要求作出响应，</w:t>
      </w:r>
      <w:r>
        <w:rPr>
          <w:rFonts w:hint="eastAsia" w:ascii="仿宋" w:hAnsi="仿宋" w:eastAsia="仿宋" w:cs="仿宋"/>
          <w:sz w:val="24"/>
          <w:szCs w:val="24"/>
          <w:lang w:val="en-US" w:eastAsia="zh-CN"/>
        </w:rPr>
        <w:t>如有偏离的，应逐条填列在偏离表中，并说明偏离情况。</w:t>
      </w:r>
    </w:p>
    <w:p w14:paraId="4CAE8BC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13.2供应商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按照磋商文件要求，在响应文件中提供与技术要求和商务要求相关的证明材料。</w:t>
      </w:r>
    </w:p>
    <w:p w14:paraId="76E01631">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495D742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14.1供应商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根据磋商文件要求提供有关售后服务的管理制度，售后服务机构的分布情况，售后服务人员的数量、素质、技术水平及售后服务的反应能力等。</w:t>
      </w:r>
    </w:p>
    <w:p w14:paraId="3537CF3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14.2供应商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根据磋商文件要求提供培训计划。</w:t>
      </w:r>
    </w:p>
    <w:p w14:paraId="26FD993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14.3供应商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根据磋商文件要求提供磋商响应标的的主要组成部分、功能设计、实现思路及关键技术等。</w:t>
      </w:r>
    </w:p>
    <w:p w14:paraId="7E3F8B1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18" w:name="_Toc14577359"/>
      <w:bookmarkStart w:id="119" w:name="_Toc49090510"/>
      <w:r>
        <w:rPr>
          <w:rFonts w:hint="eastAsia" w:ascii="仿宋" w:hAnsi="仿宋" w:eastAsia="仿宋" w:cs="仿宋"/>
          <w:b/>
          <w:bCs/>
          <w:sz w:val="28"/>
          <w:szCs w:val="28"/>
        </w:rPr>
        <w:t>15、磋商响应函</w:t>
      </w:r>
    </w:p>
    <w:p w14:paraId="644BB55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lang w:val="zh-CN" w:eastAsia="zh-CN"/>
        </w:rPr>
        <w:t>供应商</w:t>
      </w:r>
      <w:r>
        <w:rPr>
          <w:rFonts w:hint="eastAsia" w:ascii="仿宋" w:hAnsi="仿宋" w:eastAsia="仿宋" w:cs="仿宋"/>
          <w:sz w:val="24"/>
          <w:szCs w:val="21"/>
        </w:rPr>
        <w:t>应按照磋商文件中提供的格式完整、正确填写磋商响应函。</w:t>
      </w:r>
    </w:p>
    <w:bookmarkEnd w:id="118"/>
    <w:bookmarkEnd w:id="119"/>
    <w:p w14:paraId="5F56F443">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20" w:name="_Toc14577360"/>
      <w:bookmarkStart w:id="121" w:name="_Toc49090511"/>
      <w:r>
        <w:rPr>
          <w:rFonts w:hint="eastAsia" w:ascii="仿宋" w:hAnsi="仿宋" w:eastAsia="仿宋" w:cs="仿宋"/>
          <w:b/>
          <w:bCs/>
          <w:sz w:val="28"/>
          <w:szCs w:val="28"/>
        </w:rPr>
        <w:t>16、磋商有效期</w:t>
      </w:r>
      <w:bookmarkEnd w:id="120"/>
      <w:bookmarkEnd w:id="121"/>
    </w:p>
    <w:p w14:paraId="29A9AB5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16.1磋商有效期为</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规定的提交响应文件截止之日后</w:t>
      </w:r>
      <w:r>
        <w:rPr>
          <w:rFonts w:hint="eastAsia" w:ascii="仿宋" w:hAnsi="仿宋" w:eastAsia="仿宋" w:cs="仿宋"/>
          <w:b/>
          <w:bCs w:val="0"/>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01852B80">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17、磋商有效期的延长</w:t>
      </w:r>
    </w:p>
    <w:p w14:paraId="7E9B72E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17.1在特殊情况下，</w:t>
      </w:r>
      <w:r>
        <w:rPr>
          <w:rFonts w:hint="eastAsia" w:ascii="仿宋" w:hAnsi="仿宋" w:eastAsia="仿宋" w:cs="仿宋"/>
          <w:bCs/>
          <w:sz w:val="24"/>
          <w:szCs w:val="21"/>
          <w:lang w:val="en-US" w:eastAsia="zh-CN"/>
        </w:rPr>
        <w:t>采购人</w:t>
      </w:r>
      <w:r>
        <w:rPr>
          <w:rFonts w:hint="eastAsia" w:ascii="仿宋" w:hAnsi="仿宋" w:eastAsia="仿宋" w:cs="仿宋"/>
          <w:bCs/>
          <w:sz w:val="24"/>
          <w:szCs w:val="21"/>
        </w:rPr>
        <w:t>于原磋商有效期满之前，可向供应商提出延长磋商有效期的要求。这种要求与答复均应采用书面形式。供应商可以拒绝</w:t>
      </w:r>
      <w:r>
        <w:rPr>
          <w:rFonts w:hint="eastAsia" w:ascii="仿宋" w:hAnsi="仿宋" w:eastAsia="仿宋" w:cs="仿宋"/>
          <w:bCs/>
          <w:sz w:val="24"/>
          <w:szCs w:val="21"/>
          <w:lang w:val="en-US" w:eastAsia="zh-CN"/>
        </w:rPr>
        <w:t>采购人</w:t>
      </w:r>
      <w:r>
        <w:rPr>
          <w:rFonts w:hint="eastAsia" w:ascii="仿宋" w:hAnsi="仿宋" w:eastAsia="仿宋" w:cs="仿宋"/>
          <w:bCs/>
          <w:sz w:val="24"/>
          <w:szCs w:val="21"/>
        </w:rPr>
        <w:t>的这一要求而放弃磋商，同意延长磋商有效期的供应商既不能要求也不允许修改其响应文件。受磋商有效期约束的所有权利与义务均延长至新的有效期。</w:t>
      </w:r>
    </w:p>
    <w:p w14:paraId="5A66962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28"/>
          <w:szCs w:val="28"/>
        </w:rPr>
      </w:pPr>
      <w:bookmarkStart w:id="122" w:name="_Hlt26954852"/>
      <w:bookmarkEnd w:id="122"/>
      <w:bookmarkStart w:id="123" w:name="_Hlt26954739"/>
      <w:bookmarkEnd w:id="123"/>
      <w:bookmarkStart w:id="124" w:name="_Toc513029224"/>
      <w:bookmarkStart w:id="125" w:name="_Toc120614217"/>
      <w:bookmarkStart w:id="126" w:name="_Toc20823296"/>
      <w:bookmarkStart w:id="127" w:name="_Toc16938540"/>
      <w:r>
        <w:rPr>
          <w:rFonts w:hint="eastAsia" w:ascii="仿宋" w:hAnsi="仿宋" w:eastAsia="仿宋" w:cs="仿宋"/>
          <w:b/>
          <w:bCs/>
          <w:sz w:val="32"/>
          <w:szCs w:val="32"/>
        </w:rPr>
        <w:t>四、响应文</w:t>
      </w:r>
      <w:r>
        <w:rPr>
          <w:rFonts w:hint="eastAsia" w:ascii="仿宋" w:hAnsi="仿宋" w:eastAsia="仿宋" w:cs="仿宋"/>
          <w:b/>
          <w:bCs/>
          <w:sz w:val="28"/>
          <w:szCs w:val="28"/>
        </w:rPr>
        <w:t>件的递交</w:t>
      </w:r>
      <w:bookmarkEnd w:id="124"/>
      <w:bookmarkEnd w:id="125"/>
      <w:bookmarkEnd w:id="126"/>
      <w:bookmarkEnd w:id="127"/>
    </w:p>
    <w:p w14:paraId="2CC395AE">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28" w:name="_Toc513029225"/>
      <w:bookmarkStart w:id="129" w:name="_Toc16938541"/>
      <w:bookmarkStart w:id="130" w:name="_Toc462564084"/>
      <w:bookmarkStart w:id="131" w:name="_Toc20823297"/>
      <w:r>
        <w:rPr>
          <w:rFonts w:hint="eastAsia" w:ascii="仿宋" w:hAnsi="仿宋" w:eastAsia="仿宋" w:cs="仿宋"/>
          <w:b/>
          <w:bCs/>
          <w:sz w:val="28"/>
          <w:szCs w:val="28"/>
        </w:rPr>
        <w:t>18、电子磋商</w:t>
      </w:r>
      <w:bookmarkEnd w:id="128"/>
      <w:bookmarkEnd w:id="129"/>
      <w:bookmarkEnd w:id="130"/>
      <w:bookmarkEnd w:id="131"/>
      <w:r>
        <w:rPr>
          <w:rFonts w:hint="eastAsia" w:ascii="仿宋" w:hAnsi="仿宋" w:eastAsia="仿宋" w:cs="仿宋"/>
          <w:b/>
          <w:bCs/>
          <w:sz w:val="28"/>
          <w:szCs w:val="28"/>
        </w:rPr>
        <w:t>响应文件的递交</w:t>
      </w:r>
    </w:p>
    <w:p w14:paraId="2FFF3BE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18.1供应商应当按照《</w:t>
      </w:r>
      <w:r>
        <w:rPr>
          <w:rFonts w:hint="eastAsia" w:ascii="仿宋" w:hAnsi="仿宋" w:eastAsia="仿宋" w:cs="仿宋"/>
          <w:bCs/>
          <w:sz w:val="24"/>
          <w:szCs w:val="21"/>
          <w:lang w:eastAsia="zh-CN"/>
        </w:rPr>
        <w:t>操作指南</w:t>
      </w:r>
      <w:r>
        <w:rPr>
          <w:rFonts w:hint="eastAsia" w:ascii="仿宋" w:hAnsi="仿宋" w:eastAsia="仿宋" w:cs="仿宋"/>
          <w:bCs/>
          <w:sz w:val="24"/>
          <w:szCs w:val="21"/>
        </w:rPr>
        <w:t>》规定，在提交响应文件截止时间前制作并上传电子响应文件。</w:t>
      </w:r>
      <w:bookmarkStart w:id="132" w:name="_Toc16938542"/>
      <w:bookmarkStart w:id="133" w:name="_Toc20823298"/>
      <w:bookmarkStart w:id="134" w:name="_Toc513029226"/>
    </w:p>
    <w:p w14:paraId="661996D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19、提交响应文件截止时间</w:t>
      </w:r>
      <w:bookmarkEnd w:id="132"/>
      <w:bookmarkEnd w:id="133"/>
      <w:bookmarkEnd w:id="134"/>
    </w:p>
    <w:p w14:paraId="0512DE5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19.1供应商上传电子响应文件的时间不得迟于磋商公告中规定的提交响应文件截止时间。</w:t>
      </w:r>
    </w:p>
    <w:p w14:paraId="77B2246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26.7.2</w:t>
      </w:r>
      <w:r>
        <w:rPr>
          <w:rFonts w:hint="eastAsia" w:ascii="仿宋" w:hAnsi="仿宋" w:eastAsia="仿宋" w:cs="仿宋"/>
          <w:bCs/>
          <w:sz w:val="24"/>
          <w:szCs w:val="21"/>
        </w:rPr>
        <w:t>条规定做无效响应处理。</w:t>
      </w:r>
    </w:p>
    <w:p w14:paraId="2A322F2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 xml:space="preserve">19.2 </w:t>
      </w:r>
      <w:r>
        <w:rPr>
          <w:rFonts w:hint="eastAsia" w:ascii="仿宋" w:hAnsi="仿宋" w:eastAsia="仿宋" w:cs="仿宋"/>
          <w:bCs/>
          <w:sz w:val="24"/>
          <w:szCs w:val="21"/>
          <w:lang w:val="en-US" w:eastAsia="zh-CN"/>
        </w:rPr>
        <w:t>采购人</w:t>
      </w:r>
      <w:r>
        <w:rPr>
          <w:rFonts w:hint="eastAsia" w:ascii="仿宋" w:hAnsi="仿宋" w:eastAsia="仿宋" w:cs="仿宋"/>
          <w:bCs/>
          <w:sz w:val="24"/>
          <w:szCs w:val="21"/>
        </w:rPr>
        <w:t>可以按照规定，通过修改磋商文件酌情延长提交响应文件截止日期，在此情况下，供应商的所有权利和义务以及供应商受制的截止日期均应以延长后新的截止日期为准。</w:t>
      </w:r>
    </w:p>
    <w:p w14:paraId="7019C20B">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35" w:name="_Toc513029227"/>
      <w:bookmarkStart w:id="136" w:name="_Toc20823299"/>
      <w:bookmarkStart w:id="137" w:name="_Toc16938543"/>
      <w:r>
        <w:rPr>
          <w:rFonts w:hint="eastAsia" w:ascii="仿宋" w:hAnsi="仿宋" w:eastAsia="仿宋" w:cs="仿宋"/>
          <w:b/>
          <w:bCs/>
          <w:sz w:val="28"/>
          <w:szCs w:val="28"/>
        </w:rPr>
        <w:t>20、响应文件</w:t>
      </w:r>
      <w:bookmarkEnd w:id="135"/>
      <w:bookmarkEnd w:id="136"/>
      <w:bookmarkEnd w:id="137"/>
      <w:r>
        <w:rPr>
          <w:rFonts w:hint="eastAsia" w:ascii="仿宋" w:hAnsi="仿宋" w:eastAsia="仿宋" w:cs="仿宋"/>
          <w:b/>
          <w:bCs/>
          <w:sz w:val="28"/>
          <w:szCs w:val="28"/>
        </w:rPr>
        <w:t>的拒收</w:t>
      </w:r>
    </w:p>
    <w:p w14:paraId="24993A85">
      <w:pPr>
        <w:keepNext w:val="0"/>
        <w:keepLines w:val="0"/>
        <w:pageBreakBefore w:val="0"/>
        <w:widowControl w:val="0"/>
        <w:kinsoku/>
        <w:wordWrap/>
        <w:overflowPunct/>
        <w:topLinePunct w:val="0"/>
        <w:autoSpaceDE/>
        <w:autoSpaceDN/>
        <w:bidi w:val="0"/>
        <w:adjustRightInd w:val="0"/>
        <w:snapToGrid w:val="0"/>
        <w:spacing w:line="400" w:lineRule="atLeast"/>
        <w:ind w:firstLine="240" w:firstLineChars="100"/>
        <w:textAlignment w:val="auto"/>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val="en-US" w:eastAsia="zh-CN"/>
        </w:rPr>
        <w:t>系统</w:t>
      </w:r>
      <w:r>
        <w:rPr>
          <w:rFonts w:hint="eastAsia" w:ascii="仿宋" w:hAnsi="仿宋" w:eastAsia="仿宋" w:cs="仿宋"/>
          <w:bCs/>
          <w:sz w:val="24"/>
          <w:szCs w:val="21"/>
        </w:rPr>
        <w:t>拒绝接收在其规定的提交响应文件截止时间后上传的任何电子响应文件。</w:t>
      </w:r>
    </w:p>
    <w:p w14:paraId="7CF66CE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38" w:name="_Toc16938544"/>
      <w:bookmarkStart w:id="139" w:name="_Toc513029228"/>
      <w:bookmarkStart w:id="140" w:name="_Toc20823300"/>
      <w:r>
        <w:rPr>
          <w:rFonts w:hint="eastAsia" w:ascii="仿宋" w:hAnsi="仿宋" w:eastAsia="仿宋" w:cs="仿宋"/>
          <w:b/>
          <w:bCs/>
          <w:sz w:val="28"/>
          <w:szCs w:val="28"/>
        </w:rPr>
        <w:t>21、响应文件的撤回和修改</w:t>
      </w:r>
      <w:bookmarkEnd w:id="138"/>
      <w:bookmarkEnd w:id="139"/>
      <w:bookmarkEnd w:id="140"/>
    </w:p>
    <w:p w14:paraId="456C6BA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21.1响应文件的撤回</w:t>
      </w:r>
    </w:p>
    <w:p w14:paraId="5102842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21.1.1 电子响应文件的撤回</w:t>
      </w:r>
    </w:p>
    <w:p w14:paraId="3D33765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供应商可在提交响应文件截止时间前，撤回其电子响应文件，具体操作方法见《</w:t>
      </w:r>
      <w:r>
        <w:rPr>
          <w:rFonts w:hint="eastAsia" w:ascii="仿宋" w:hAnsi="仿宋" w:eastAsia="仿宋" w:cs="仿宋"/>
          <w:bCs/>
          <w:sz w:val="24"/>
          <w:szCs w:val="21"/>
          <w:lang w:eastAsia="zh-CN"/>
        </w:rPr>
        <w:t>操作指南</w:t>
      </w:r>
      <w:r>
        <w:rPr>
          <w:rFonts w:hint="eastAsia" w:ascii="仿宋" w:hAnsi="仿宋" w:eastAsia="仿宋" w:cs="仿宋"/>
          <w:bCs/>
          <w:sz w:val="24"/>
          <w:szCs w:val="21"/>
        </w:rPr>
        <w:t>》。</w:t>
      </w:r>
    </w:p>
    <w:p w14:paraId="637A44B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21.1.2供应商撤回电子响应文件，则认为其不再参与本项目磋商活动。</w:t>
      </w:r>
    </w:p>
    <w:p w14:paraId="268B83E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21.2响应文件的修改</w:t>
      </w:r>
    </w:p>
    <w:p w14:paraId="7FC651B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供应商可在提交响应文件截止时间前，对其电子响应文件进行修改，具体操作方法见《</w:t>
      </w:r>
      <w:r>
        <w:rPr>
          <w:rFonts w:hint="eastAsia" w:ascii="仿宋" w:hAnsi="仿宋" w:eastAsia="仿宋" w:cs="仿宋"/>
          <w:bCs/>
          <w:sz w:val="24"/>
          <w:szCs w:val="21"/>
          <w:lang w:eastAsia="zh-CN"/>
        </w:rPr>
        <w:t>操作指南</w:t>
      </w:r>
      <w:r>
        <w:rPr>
          <w:rFonts w:hint="eastAsia" w:ascii="仿宋" w:hAnsi="仿宋" w:eastAsia="仿宋" w:cs="仿宋"/>
          <w:bCs/>
          <w:sz w:val="24"/>
          <w:szCs w:val="21"/>
        </w:rPr>
        <w:t>》。</w:t>
      </w:r>
    </w:p>
    <w:p w14:paraId="4691908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21.3 在提交响应文件截止时间之后，供应商不得对其电子响应文件作任何修改。</w:t>
      </w:r>
    </w:p>
    <w:p w14:paraId="7114640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21.4 在提交响应文件截止时间至磋商文件中规定的磋商有效期满之间的这段时间内，供应商不得撤回其响应文件。</w:t>
      </w:r>
    </w:p>
    <w:p w14:paraId="2770CBBC">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28"/>
          <w:szCs w:val="28"/>
        </w:rPr>
      </w:pPr>
      <w:bookmarkStart w:id="141" w:name="_Toc16938545"/>
      <w:bookmarkStart w:id="142" w:name="_Toc20823301"/>
      <w:bookmarkStart w:id="143" w:name="_Toc120614218"/>
      <w:bookmarkStart w:id="144" w:name="_Toc513029229"/>
      <w:r>
        <w:rPr>
          <w:rFonts w:hint="eastAsia" w:ascii="仿宋" w:hAnsi="仿宋" w:eastAsia="仿宋" w:cs="仿宋"/>
          <w:b/>
          <w:bCs/>
          <w:sz w:val="32"/>
          <w:szCs w:val="32"/>
        </w:rPr>
        <w:t>五、响应文件的</w:t>
      </w:r>
      <w:r>
        <w:rPr>
          <w:rFonts w:hint="eastAsia" w:ascii="仿宋" w:hAnsi="仿宋" w:eastAsia="仿宋" w:cs="仿宋"/>
          <w:b/>
          <w:bCs/>
          <w:sz w:val="28"/>
          <w:szCs w:val="28"/>
        </w:rPr>
        <w:t>解密与评审</w:t>
      </w:r>
      <w:bookmarkEnd w:id="141"/>
      <w:bookmarkEnd w:id="142"/>
      <w:bookmarkEnd w:id="143"/>
      <w:bookmarkEnd w:id="144"/>
    </w:p>
    <w:p w14:paraId="042D29F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45" w:name="_Toc16938546"/>
      <w:bookmarkStart w:id="146" w:name="_Toc513029230"/>
      <w:bookmarkStart w:id="147" w:name="_Toc20823302"/>
      <w:r>
        <w:rPr>
          <w:rFonts w:hint="eastAsia" w:ascii="仿宋" w:hAnsi="仿宋" w:eastAsia="仿宋" w:cs="仿宋"/>
          <w:b/>
          <w:bCs/>
          <w:sz w:val="28"/>
          <w:szCs w:val="28"/>
        </w:rPr>
        <w:t>22、</w:t>
      </w:r>
      <w:bookmarkEnd w:id="145"/>
      <w:bookmarkEnd w:id="146"/>
      <w:bookmarkEnd w:id="147"/>
      <w:r>
        <w:rPr>
          <w:rFonts w:hint="eastAsia" w:ascii="仿宋" w:hAnsi="仿宋" w:eastAsia="仿宋" w:cs="仿宋"/>
          <w:b/>
          <w:bCs/>
          <w:sz w:val="28"/>
          <w:szCs w:val="28"/>
        </w:rPr>
        <w:t>响应文件解密</w:t>
      </w:r>
    </w:p>
    <w:p w14:paraId="43638422">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w:t>
      </w:r>
      <w:r>
        <w:rPr>
          <w:rFonts w:hint="eastAsia" w:ascii="仿宋" w:hAnsi="仿宋" w:eastAsia="仿宋" w:cs="仿宋"/>
          <w:sz w:val="24"/>
          <w:szCs w:val="24"/>
          <w:lang w:eastAsia="zh-CN"/>
        </w:rPr>
        <w:t>操作指南</w:t>
      </w:r>
      <w:r>
        <w:rPr>
          <w:rFonts w:hint="eastAsia" w:ascii="仿宋" w:hAnsi="仿宋" w:eastAsia="仿宋" w:cs="仿宋"/>
          <w:sz w:val="24"/>
          <w:szCs w:val="24"/>
        </w:rPr>
        <w:t>》规定，在苏采云系统规定的时间内对磋商响应文件进行解密。</w:t>
      </w:r>
    </w:p>
    <w:p w14:paraId="09658866">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48" w:name="_Toc16938547"/>
      <w:bookmarkStart w:id="149" w:name="_Toc513029231"/>
      <w:bookmarkStart w:id="150" w:name="_Toc20823303"/>
      <w:r>
        <w:rPr>
          <w:rFonts w:hint="eastAsia" w:ascii="仿宋" w:hAnsi="仿宋" w:eastAsia="仿宋" w:cs="仿宋"/>
          <w:b/>
          <w:bCs/>
          <w:sz w:val="28"/>
          <w:szCs w:val="28"/>
        </w:rPr>
        <w:t>23、磋商小组</w:t>
      </w:r>
    </w:p>
    <w:p w14:paraId="54C3BCEF">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23.1</w:t>
      </w:r>
      <w:r>
        <w:rPr>
          <w:rFonts w:hint="eastAsia" w:ascii="仿宋" w:hAnsi="仿宋" w:eastAsia="仿宋" w:cs="仿宋"/>
          <w:sz w:val="24"/>
          <w:szCs w:val="21"/>
          <w:lang w:val="en-US" w:eastAsia="zh-CN"/>
        </w:rPr>
        <w:t>采购人</w:t>
      </w:r>
      <w:r>
        <w:rPr>
          <w:rFonts w:hint="eastAsia" w:ascii="仿宋" w:hAnsi="仿宋" w:eastAsia="仿宋" w:cs="仿宋"/>
          <w:sz w:val="24"/>
          <w:szCs w:val="21"/>
        </w:rPr>
        <w:t>将组织磋商小组对响应文件进行评审。磋商小组由采购人代表和有关技术、经济等方面的专家组成，且人员构成符合政府采购有关规定。</w:t>
      </w:r>
    </w:p>
    <w:p w14:paraId="597D8412">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23.2磋商小组独立工作，负责评审所有响应文件并确定成交</w:t>
      </w:r>
      <w:r>
        <w:rPr>
          <w:rFonts w:hint="eastAsia" w:ascii="仿宋" w:hAnsi="仿宋" w:eastAsia="仿宋" w:cs="仿宋"/>
          <w:sz w:val="24"/>
          <w:szCs w:val="21"/>
          <w:lang w:val="en-US" w:eastAsia="zh-CN"/>
        </w:rPr>
        <w:t>候</w:t>
      </w:r>
      <w:r>
        <w:rPr>
          <w:rFonts w:hint="eastAsia" w:ascii="仿宋" w:hAnsi="仿宋" w:eastAsia="仿宋" w:cs="仿宋"/>
          <w:sz w:val="24"/>
          <w:szCs w:val="21"/>
        </w:rPr>
        <w:t>选人。</w:t>
      </w:r>
    </w:p>
    <w:p w14:paraId="4DEDC654">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24、评审过程的保密与公正</w:t>
      </w:r>
    </w:p>
    <w:bookmarkEnd w:id="148"/>
    <w:bookmarkEnd w:id="149"/>
    <w:bookmarkEnd w:id="150"/>
    <w:p w14:paraId="445FF3D6">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24.1磋商小组、采购人和</w:t>
      </w:r>
      <w:r>
        <w:rPr>
          <w:rFonts w:hint="eastAsia" w:ascii="仿宋" w:hAnsi="仿宋" w:eastAsia="仿宋" w:cs="仿宋"/>
          <w:sz w:val="24"/>
          <w:szCs w:val="21"/>
          <w:lang w:val="en-US" w:eastAsia="zh-CN"/>
        </w:rPr>
        <w:t>代理机构</w:t>
      </w:r>
      <w:r>
        <w:rPr>
          <w:rFonts w:hint="eastAsia" w:ascii="仿宋" w:hAnsi="仿宋" w:eastAsia="仿宋" w:cs="仿宋"/>
          <w:sz w:val="24"/>
          <w:szCs w:val="21"/>
        </w:rPr>
        <w:t>、相关监督人员等与评审工作有关的人员，对评审情况以及在评审过程中获悉的国家秘密、商业秘密负有保密责任。</w:t>
      </w:r>
    </w:p>
    <w:p w14:paraId="61211DCD">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24.2在评审过程中，供应商不得以任何行为影响磋商评审过程，否则其响应文件将被作为无效响应文件。</w:t>
      </w:r>
    </w:p>
    <w:p w14:paraId="47DF3808">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24.3在项目评审期间，</w:t>
      </w:r>
      <w:r>
        <w:rPr>
          <w:rFonts w:hint="eastAsia" w:ascii="仿宋" w:hAnsi="仿宋" w:eastAsia="仿宋" w:cs="仿宋"/>
          <w:sz w:val="24"/>
          <w:szCs w:val="21"/>
          <w:lang w:eastAsia="zh-CN"/>
        </w:rPr>
        <w:t>代理机构</w:t>
      </w:r>
      <w:r>
        <w:rPr>
          <w:rFonts w:hint="eastAsia" w:ascii="仿宋" w:hAnsi="仿宋" w:eastAsia="仿宋" w:cs="仿宋"/>
          <w:sz w:val="24"/>
          <w:szCs w:val="21"/>
        </w:rPr>
        <w:t>将设专门人员与供应商联系。</w:t>
      </w:r>
    </w:p>
    <w:p w14:paraId="10313429">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 xml:space="preserve">24.4 </w:t>
      </w:r>
      <w:r>
        <w:rPr>
          <w:rFonts w:hint="eastAsia" w:ascii="仿宋" w:hAnsi="仿宋" w:eastAsia="仿宋" w:cs="仿宋"/>
          <w:sz w:val="24"/>
          <w:szCs w:val="21"/>
          <w:lang w:eastAsia="zh-CN"/>
        </w:rPr>
        <w:t>代理机构</w:t>
      </w:r>
      <w:r>
        <w:rPr>
          <w:rFonts w:hint="eastAsia" w:ascii="仿宋" w:hAnsi="仿宋" w:eastAsia="仿宋" w:cs="仿宋"/>
          <w:sz w:val="24"/>
          <w:szCs w:val="21"/>
        </w:rPr>
        <w:t>和磋商小组不向未成交的供应商解释未成交原因，也不公布评审过程中的相关细节。</w:t>
      </w:r>
    </w:p>
    <w:p w14:paraId="493696FA">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51" w:name="_Toc513029232"/>
      <w:bookmarkStart w:id="152" w:name="_Toc16938548"/>
      <w:bookmarkStart w:id="153" w:name="_Toc20823304"/>
      <w:r>
        <w:rPr>
          <w:rFonts w:hint="eastAsia" w:ascii="仿宋" w:hAnsi="仿宋" w:eastAsia="仿宋" w:cs="仿宋"/>
          <w:b/>
          <w:bCs/>
          <w:sz w:val="28"/>
          <w:szCs w:val="28"/>
        </w:rPr>
        <w:t>25、评审过程中的澄清</w:t>
      </w:r>
      <w:bookmarkEnd w:id="151"/>
      <w:bookmarkEnd w:id="152"/>
      <w:bookmarkEnd w:id="153"/>
    </w:p>
    <w:p w14:paraId="6316C388">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F301C6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磋商小组并非对每个供应商都作澄清要求。</w:t>
      </w:r>
    </w:p>
    <w:p w14:paraId="1D6515D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操作指南</w:t>
      </w:r>
      <w:r>
        <w:rPr>
          <w:rFonts w:hint="eastAsia" w:ascii="仿宋" w:hAnsi="仿宋" w:eastAsia="仿宋" w:cs="仿宋"/>
          <w:sz w:val="24"/>
          <w:szCs w:val="24"/>
        </w:rPr>
        <w:t>》。</w:t>
      </w:r>
    </w:p>
    <w:p w14:paraId="7D1F822D">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p>
    <w:p w14:paraId="3F373B15">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54" w:name="_Toc513029233"/>
      <w:bookmarkStart w:id="155" w:name="_Toc20823305"/>
      <w:bookmarkStart w:id="156" w:name="_Toc16938549"/>
      <w:r>
        <w:rPr>
          <w:rFonts w:hint="eastAsia" w:ascii="仿宋" w:hAnsi="仿宋" w:eastAsia="仿宋" w:cs="仿宋"/>
          <w:b/>
          <w:bCs/>
          <w:sz w:val="28"/>
          <w:szCs w:val="28"/>
        </w:rPr>
        <w:t>26、对响应文件的审</w:t>
      </w:r>
      <w:bookmarkEnd w:id="154"/>
      <w:bookmarkEnd w:id="155"/>
      <w:bookmarkEnd w:id="156"/>
      <w:r>
        <w:rPr>
          <w:rFonts w:hint="eastAsia" w:ascii="仿宋" w:hAnsi="仿宋" w:eastAsia="仿宋" w:cs="仿宋"/>
          <w:b/>
          <w:bCs/>
          <w:sz w:val="28"/>
          <w:szCs w:val="28"/>
        </w:rPr>
        <w:t>查</w:t>
      </w:r>
    </w:p>
    <w:p w14:paraId="5826ECA3">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26.1响应文件审查分为资格审查和符合性审查。</w:t>
      </w:r>
    </w:p>
    <w:p w14:paraId="457E96C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26.1.1 资格审查：由磋商小组依据法律法规和磋商文件的规定，对响应文件中的资格证明文件进行审查，以确定供应商是否具备参加磋商的资格。</w:t>
      </w:r>
    </w:p>
    <w:p w14:paraId="33DB0C02">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磋商小组在进行资格审查的同时，将在“信用中国”网站（www.creditchina.gov.cn）查询供应商的信用记录，以确定供应商是否具备磋商资格,查询结果留存并归档。</w:t>
      </w:r>
    </w:p>
    <w:p w14:paraId="1FF8AA9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sz w:val="24"/>
          <w:szCs w:val="24"/>
          <w:lang w:val="en-US" w:eastAsia="zh-CN"/>
        </w:rPr>
        <w:t>信</w:t>
      </w:r>
      <w:r>
        <w:rPr>
          <w:rFonts w:hint="eastAsia" w:ascii="仿宋" w:hAnsi="仿宋" w:eastAsia="仿宋" w:cs="仿宋"/>
          <w:sz w:val="24"/>
          <w:szCs w:val="24"/>
        </w:rPr>
        <w:t>用记录。</w:t>
      </w:r>
    </w:p>
    <w:p w14:paraId="06FFD9FD">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26.1.2 符合性审查：依据磋商文件的规定，由磋商小组从响应文件的有效性、完整性和对磋商文件的响应程度进行审查，以确定是否对磋商文件的实质性要求作出响应。</w:t>
      </w:r>
    </w:p>
    <w:p w14:paraId="1D328DAA">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4BFC84C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60C1F3A0">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买方和代理机构的权</w:t>
      </w:r>
      <w:r>
        <w:rPr>
          <w:rFonts w:hint="eastAsia" w:ascii="仿宋" w:hAnsi="仿宋" w:eastAsia="仿宋" w:cs="仿宋"/>
          <w:sz w:val="24"/>
          <w:szCs w:val="24"/>
        </w:rPr>
        <w:t>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6E946F">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26.3</w:t>
      </w:r>
      <w:r>
        <w:rPr>
          <w:rFonts w:hint="eastAsia" w:ascii="仿宋" w:hAnsi="仿宋" w:eastAsia="仿宋" w:cs="仿宋"/>
          <w:sz w:val="24"/>
          <w:szCs w:val="24"/>
        </w:rPr>
        <w:t>如果响应文件实质上没有响应磋商文件的要求，磋商小组将</w:t>
      </w:r>
      <w:r>
        <w:rPr>
          <w:rFonts w:hint="eastAsia" w:ascii="仿宋" w:hAnsi="仿宋" w:eastAsia="仿宋" w:cs="仿宋"/>
          <w:sz w:val="24"/>
          <w:szCs w:val="24"/>
          <w:lang w:val="en-US" w:eastAsia="zh-CN"/>
        </w:rPr>
        <w:t>按无效响应处理</w:t>
      </w:r>
      <w:r>
        <w:rPr>
          <w:rFonts w:hint="eastAsia" w:ascii="仿宋" w:hAnsi="仿宋" w:eastAsia="仿宋" w:cs="仿宋"/>
          <w:sz w:val="24"/>
          <w:szCs w:val="24"/>
        </w:rPr>
        <w:t>，供应商不得通过修改或撤销不合要求的偏离或保留而使其成为实质性响应的文件。</w:t>
      </w:r>
    </w:p>
    <w:p w14:paraId="1C5AE3C0">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26.4</w:t>
      </w:r>
      <w:r>
        <w:rPr>
          <w:rFonts w:hint="eastAsia" w:ascii="仿宋" w:hAnsi="仿宋" w:eastAsia="仿宋" w:cs="仿宋"/>
          <w:sz w:val="24"/>
          <w:szCs w:val="24"/>
        </w:rPr>
        <w:t>磋商小组将对确定为实质性响应的文件进行进一步审核，看其是否有计算上或累加上的算术错误，修正错误的原则如下：</w:t>
      </w:r>
    </w:p>
    <w:p w14:paraId="0426471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（1）响应文件中</w:t>
      </w:r>
      <w:r>
        <w:rPr>
          <w:rFonts w:hint="eastAsia" w:ascii="仿宋" w:hAnsi="仿宋" w:eastAsia="仿宋" w:cs="仿宋"/>
          <w:sz w:val="24"/>
          <w:szCs w:val="24"/>
          <w:lang w:eastAsia="zh-CN"/>
        </w:rPr>
        <w:t>磋商报价表</w:t>
      </w:r>
      <w:r>
        <w:rPr>
          <w:rFonts w:hint="eastAsia" w:ascii="仿宋" w:hAnsi="仿宋" w:eastAsia="仿宋" w:cs="仿宋"/>
          <w:sz w:val="24"/>
          <w:szCs w:val="24"/>
        </w:rPr>
        <w:t>内容与响应文件中相应内容不一致的，以</w:t>
      </w:r>
      <w:r>
        <w:rPr>
          <w:rFonts w:hint="eastAsia" w:ascii="仿宋" w:hAnsi="仿宋" w:eastAsia="仿宋" w:cs="仿宋"/>
          <w:sz w:val="24"/>
          <w:szCs w:val="24"/>
          <w:lang w:eastAsia="zh-CN"/>
        </w:rPr>
        <w:t>磋商报价表</w:t>
      </w:r>
      <w:r>
        <w:rPr>
          <w:rFonts w:hint="eastAsia" w:ascii="仿宋" w:hAnsi="仿宋" w:eastAsia="仿宋" w:cs="仿宋"/>
          <w:sz w:val="24"/>
          <w:szCs w:val="24"/>
        </w:rPr>
        <w:t>为准。</w:t>
      </w:r>
    </w:p>
    <w:p w14:paraId="0D502248">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1249F6F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w:t>
      </w:r>
      <w:r>
        <w:rPr>
          <w:rFonts w:hint="eastAsia" w:ascii="仿宋" w:hAnsi="仿宋" w:eastAsia="仿宋" w:cs="仿宋"/>
          <w:sz w:val="24"/>
          <w:szCs w:val="24"/>
          <w:lang w:eastAsia="zh-CN"/>
        </w:rPr>
        <w:t>磋商报价表</w:t>
      </w:r>
      <w:r>
        <w:rPr>
          <w:rFonts w:hint="eastAsia" w:ascii="仿宋" w:hAnsi="仿宋" w:eastAsia="仿宋" w:cs="仿宋"/>
          <w:sz w:val="24"/>
          <w:szCs w:val="24"/>
        </w:rPr>
        <w:t>的总价为准，并修改单价。</w:t>
      </w:r>
    </w:p>
    <w:p w14:paraId="4507B36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1FF0D1A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221E2B23">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w:t>
      </w:r>
      <w:r>
        <w:rPr>
          <w:rFonts w:hint="eastAsia" w:ascii="仿宋" w:hAnsi="仿宋" w:eastAsia="仿宋" w:cs="仿宋"/>
          <w:sz w:val="24"/>
          <w:szCs w:val="24"/>
        </w:rPr>
        <w:t>5磋商小组将按上述修正错误的方法调整响应文件中的报价，并通过“</w:t>
      </w:r>
      <w:r>
        <w:rPr>
          <w:rFonts w:hint="eastAsia" w:ascii="仿宋" w:hAnsi="仿宋" w:eastAsia="仿宋" w:cs="仿宋"/>
          <w:sz w:val="24"/>
          <w:szCs w:val="24"/>
          <w:lang w:val="en-US" w:eastAsia="zh-CN"/>
        </w:rPr>
        <w:t>苏采云</w:t>
      </w:r>
      <w:r>
        <w:rPr>
          <w:rFonts w:hint="eastAsia" w:ascii="仿宋" w:hAnsi="仿宋" w:eastAsia="仿宋" w:cs="仿宋"/>
          <w:sz w:val="24"/>
          <w:szCs w:val="24"/>
        </w:rPr>
        <w:t>系统”告知供应商，调整后的价格应对供应商具有约束力。如果供应商不接受修正后的价格，则其磋商活动将被拒绝。</w:t>
      </w:r>
    </w:p>
    <w:p w14:paraId="3715EF3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w:t>
      </w:r>
      <w:r>
        <w:rPr>
          <w:rFonts w:hint="eastAsia" w:ascii="仿宋" w:hAnsi="仿宋" w:eastAsia="仿宋" w:cs="仿宋"/>
          <w:sz w:val="24"/>
          <w:szCs w:val="24"/>
        </w:rPr>
        <w:t>.6磋商小组将允许修正响应文件中不构成重大偏离的、微小的、非正规的、不一致的或不规则的地方，但这些修改不能影响任何供应商相应的名次排列。</w:t>
      </w:r>
    </w:p>
    <w:p w14:paraId="7B3C0D9A">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b/>
          <w:bCs/>
          <w:color w:val="000000"/>
          <w:sz w:val="24"/>
          <w:szCs w:val="21"/>
          <w:highlight w:val="none"/>
        </w:rPr>
      </w:pPr>
      <w:r>
        <w:rPr>
          <w:rFonts w:hint="eastAsia" w:ascii="仿宋" w:hAnsi="仿宋" w:eastAsia="仿宋" w:cs="仿宋"/>
          <w:b/>
          <w:bCs/>
          <w:color w:val="000000"/>
          <w:sz w:val="24"/>
          <w:szCs w:val="21"/>
          <w:highlight w:val="none"/>
        </w:rPr>
        <w:t>26.7.异常低价审查</w:t>
      </w:r>
    </w:p>
    <w:p w14:paraId="33BE6FD5">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应当启动异常低价投标（响应）审查程序：</w:t>
      </w:r>
    </w:p>
    <w:p w14:paraId="6B3C95CD">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26.7.1.1投标(响应)报价低于采购项目预算50%的，即投标(响应)报价&lt;采购项目预算×50%;</w:t>
      </w:r>
    </w:p>
    <w:p w14:paraId="0620C925">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26.7.1.2投标(响应)报价低于采购项目最高限价45%的，即投标(响应)报价&lt;采购项目最高限价×45%;</w:t>
      </w:r>
    </w:p>
    <w:p w14:paraId="527C8B79">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26.7.1.3</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认定的供应商报价过低、有可能影响产品质量或者不能诚信履约的其他情形。</w:t>
      </w:r>
    </w:p>
    <w:p w14:paraId="4D56E392">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highlight w:val="yellow"/>
        </w:rPr>
      </w:pPr>
      <w:r>
        <w:rPr>
          <w:rFonts w:hint="eastAsia" w:ascii="仿宋" w:hAnsi="仿宋" w:eastAsia="仿宋" w:cs="仿宋"/>
          <w:color w:val="000000"/>
          <w:sz w:val="24"/>
          <w:szCs w:val="21"/>
          <w:highlight w:val="none"/>
        </w:rPr>
        <w:t>26.7.2启动异常低价投标(响应)审查后，</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应当将其作为无效投标(响应)处理。审查相关情况应当在评审报告中进行记录。</w:t>
      </w:r>
    </w:p>
    <w:p w14:paraId="0C6D4515">
      <w:pPr>
        <w:keepNext w:val="0"/>
        <w:keepLines w:val="0"/>
        <w:pageBreakBefore w:val="0"/>
        <w:widowControl w:val="0"/>
        <w:kinsoku/>
        <w:wordWrap/>
        <w:overflowPunct/>
        <w:topLinePunct w:val="0"/>
        <w:autoSpaceDE/>
        <w:autoSpaceDN/>
        <w:bidi w:val="0"/>
        <w:adjustRightInd w:val="0"/>
        <w:snapToGrid w:val="0"/>
        <w:spacing w:line="400" w:lineRule="atLeas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26.</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rPr>
        <w:t>出现下列情形之一的，作无效响应处理。</w:t>
      </w:r>
    </w:p>
    <w:p w14:paraId="7733BB2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26.</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.1供应商在“</w:t>
      </w:r>
      <w:r>
        <w:rPr>
          <w:rFonts w:hint="eastAsia" w:ascii="仿宋" w:hAnsi="仿宋" w:eastAsia="仿宋" w:cs="仿宋"/>
          <w:sz w:val="24"/>
          <w:szCs w:val="24"/>
          <w:highlight w:val="none"/>
          <w:lang w:val="en-US" w:eastAsia="zh-CN"/>
        </w:rPr>
        <w:t>苏采云</w:t>
      </w:r>
      <w:r>
        <w:rPr>
          <w:rFonts w:hint="eastAsia" w:ascii="仿宋" w:hAnsi="仿宋" w:eastAsia="仿宋" w:cs="仿宋"/>
          <w:sz w:val="24"/>
          <w:szCs w:val="24"/>
          <w:highlight w:val="none"/>
        </w:rPr>
        <w:t>系统”规定的时间内未成功解密电子响应文件的。</w:t>
      </w:r>
    </w:p>
    <w:p w14:paraId="3F590A5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26.8.2供应商未按照磋商文件要求上传电子响应文件的</w:t>
      </w:r>
      <w:r>
        <w:rPr>
          <w:rFonts w:hint="eastAsia" w:ascii="仿宋" w:hAnsi="仿宋" w:eastAsia="仿宋" w:cs="仿宋"/>
          <w:sz w:val="24"/>
          <w:szCs w:val="24"/>
          <w:highlight w:val="none"/>
        </w:rPr>
        <w:t>,或上传的文件打不开的。</w:t>
      </w:r>
    </w:p>
    <w:p w14:paraId="002AB97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26.8.3</w:t>
      </w:r>
      <w:r>
        <w:rPr>
          <w:rFonts w:hint="eastAsia" w:ascii="仿宋" w:hAnsi="仿宋" w:eastAsia="仿宋" w:cs="仿宋"/>
          <w:bCs/>
          <w:sz w:val="24"/>
          <w:szCs w:val="21"/>
          <w:highlight w:val="none"/>
        </w:rPr>
        <w:t>供应商同一分包提交两个（含两个）以上不同的响应文件或者</w:t>
      </w:r>
      <w:r>
        <w:rPr>
          <w:rFonts w:hint="eastAsia" w:ascii="仿宋" w:hAnsi="仿宋" w:eastAsia="仿宋" w:cs="仿宋"/>
          <w:bCs/>
          <w:sz w:val="24"/>
          <w:szCs w:val="21"/>
          <w:highlight w:val="none"/>
          <w:lang w:val="en-US" w:eastAsia="zh-CN"/>
        </w:rPr>
        <w:t>响应</w:t>
      </w:r>
      <w:r>
        <w:rPr>
          <w:rFonts w:hint="eastAsia" w:ascii="仿宋" w:hAnsi="仿宋" w:eastAsia="仿宋" w:cs="仿宋"/>
          <w:bCs/>
          <w:sz w:val="24"/>
          <w:szCs w:val="21"/>
          <w:highlight w:val="none"/>
        </w:rPr>
        <w:t>报价的。</w:t>
      </w:r>
    </w:p>
    <w:p w14:paraId="1060F63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26.8.4</w:t>
      </w:r>
      <w:r>
        <w:rPr>
          <w:rFonts w:hint="eastAsia" w:ascii="仿宋" w:hAnsi="仿宋" w:eastAsia="仿宋" w:cs="仿宋"/>
          <w:sz w:val="24"/>
          <w:szCs w:val="24"/>
          <w:highlight w:val="none"/>
        </w:rPr>
        <w:t xml:space="preserve">供应商不具备磋商文件中规定的资格要求的。 </w:t>
      </w:r>
    </w:p>
    <w:p w14:paraId="7FAACFA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26.8.5</w:t>
      </w: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 xml:space="preserve">报价超过了采购预算或最高限价的。 </w:t>
      </w:r>
    </w:p>
    <w:p w14:paraId="5BC6BD1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26.8.6未通过符合性审查的。</w:t>
      </w:r>
    </w:p>
    <w:p w14:paraId="1E2D4DD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26.8.7不符合法律、法规和磋商文件中</w:t>
      </w:r>
      <w:r>
        <w:rPr>
          <w:rFonts w:hint="eastAsia" w:ascii="仿宋" w:hAnsi="仿宋" w:eastAsia="仿宋" w:cs="仿宋"/>
          <w:sz w:val="24"/>
          <w:szCs w:val="24"/>
          <w:highlight w:val="none"/>
        </w:rPr>
        <w:t>规定的实质性要求的</w:t>
      </w:r>
      <w:r>
        <w:rPr>
          <w:rFonts w:hint="eastAsia" w:ascii="仿宋" w:hAnsi="仿宋" w:eastAsia="仿宋" w:cs="仿宋"/>
          <w:i/>
          <w:iCs/>
          <w:color w:val="0000FF"/>
          <w:sz w:val="24"/>
          <w:szCs w:val="24"/>
          <w:highlight w:val="none"/>
          <w:u w:val="single"/>
        </w:rPr>
        <w:t>（本</w:t>
      </w:r>
      <w:r>
        <w:rPr>
          <w:rFonts w:hint="eastAsia" w:ascii="仿宋" w:hAnsi="仿宋" w:eastAsia="仿宋" w:cs="仿宋"/>
          <w:i/>
          <w:iCs/>
          <w:color w:val="0000FF"/>
          <w:sz w:val="24"/>
          <w:szCs w:val="24"/>
          <w:highlight w:val="none"/>
          <w:u w:val="single"/>
          <w:lang w:val="en-US" w:eastAsia="zh-CN"/>
        </w:rPr>
        <w:t>磋商</w:t>
      </w:r>
      <w:r>
        <w:rPr>
          <w:rFonts w:hint="eastAsia" w:ascii="仿宋" w:hAnsi="仿宋" w:eastAsia="仿宋" w:cs="仿宋"/>
          <w:i/>
          <w:iCs/>
          <w:color w:val="0000FF"/>
          <w:sz w:val="24"/>
          <w:szCs w:val="24"/>
          <w:highlight w:val="none"/>
          <w:u w:val="single"/>
        </w:rPr>
        <w:t>文件中斜体且有下划线部分为实质性要求）。</w:t>
      </w:r>
    </w:p>
    <w:p w14:paraId="2819965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26.8.8</w:t>
      </w:r>
      <w:r>
        <w:rPr>
          <w:rFonts w:hint="eastAsia" w:ascii="仿宋" w:hAnsi="仿宋" w:eastAsia="仿宋" w:cs="仿宋"/>
          <w:sz w:val="24"/>
          <w:szCs w:val="24"/>
          <w:highlight w:val="none"/>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832DB7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26.8.9</w:t>
      </w:r>
      <w:r>
        <w:rPr>
          <w:rFonts w:hint="eastAsia" w:ascii="仿宋" w:hAnsi="仿宋" w:eastAsia="仿宋" w:cs="仿宋"/>
          <w:sz w:val="24"/>
          <w:szCs w:val="24"/>
          <w:highlight w:val="none"/>
        </w:rPr>
        <w:t>响应文件含有采购人不能接受的附加条件的。</w:t>
      </w:r>
    </w:p>
    <w:p w14:paraId="7100D22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26.8.10</w:t>
      </w:r>
      <w:r>
        <w:rPr>
          <w:rFonts w:hint="eastAsia" w:ascii="仿宋" w:hAnsi="仿宋" w:eastAsia="仿宋" w:cs="仿宋"/>
          <w:sz w:val="24"/>
          <w:szCs w:val="21"/>
        </w:rPr>
        <w:t>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苏采云</w:t>
      </w:r>
      <w:r>
        <w:rPr>
          <w:rFonts w:hint="eastAsia" w:ascii="仿宋" w:hAnsi="仿宋" w:eastAsia="仿宋" w:cs="仿宋"/>
          <w:sz w:val="24"/>
          <w:szCs w:val="21"/>
        </w:rPr>
        <w:t>系统”要求其在合理的时间内提供说明，必要时提交相关证明材料；供应商不能证明其报价合理性的，磋商小组应当将其作为无效响应处理。</w:t>
      </w:r>
    </w:p>
    <w:p w14:paraId="7DAFC02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26.8.11</w:t>
      </w:r>
      <w:r>
        <w:rPr>
          <w:rFonts w:hint="eastAsia" w:ascii="仿宋" w:hAnsi="仿宋" w:eastAsia="仿宋" w:cs="仿宋"/>
          <w:sz w:val="24"/>
          <w:szCs w:val="21"/>
        </w:rPr>
        <w:t>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1"/>
          <w:lang w:eastAsia="zh-CN"/>
        </w:rPr>
        <w:t>扫描件</w:t>
      </w:r>
      <w:r>
        <w:rPr>
          <w:rFonts w:hint="eastAsia" w:ascii="仿宋" w:hAnsi="仿宋" w:eastAsia="仿宋" w:cs="仿宋"/>
          <w:sz w:val="24"/>
          <w:szCs w:val="21"/>
        </w:rPr>
        <w:t>）。</w:t>
      </w:r>
    </w:p>
    <w:p w14:paraId="1DF8B73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26.8.12</w:t>
      </w:r>
      <w:r>
        <w:rPr>
          <w:rFonts w:hint="eastAsia" w:ascii="仿宋" w:hAnsi="仿宋" w:eastAsia="仿宋" w:cs="仿宋"/>
          <w:sz w:val="24"/>
          <w:szCs w:val="21"/>
        </w:rPr>
        <w:t>响应文件未按照磋商文件要求加盖CA电子公章的。</w:t>
      </w:r>
    </w:p>
    <w:p w14:paraId="273FB85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26.8.13</w:t>
      </w:r>
      <w:r>
        <w:rPr>
          <w:rFonts w:hint="eastAsia" w:ascii="仿宋" w:hAnsi="仿宋" w:eastAsia="仿宋" w:cs="仿宋"/>
          <w:sz w:val="24"/>
          <w:szCs w:val="21"/>
        </w:rPr>
        <w:t>未在规定时间内提交最后报价的，视作无效响应处理。</w:t>
      </w:r>
    </w:p>
    <w:p w14:paraId="206CF82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26.8.14</w:t>
      </w:r>
      <w:r>
        <w:rPr>
          <w:rFonts w:hint="eastAsia" w:ascii="仿宋" w:hAnsi="仿宋" w:eastAsia="仿宋" w:cs="仿宋"/>
          <w:sz w:val="24"/>
          <w:szCs w:val="21"/>
        </w:rPr>
        <w:t>其他法律、法规及本磋商文件规定的属无效响应的情形。</w:t>
      </w:r>
    </w:p>
    <w:p w14:paraId="14E1277C">
      <w:pPr>
        <w:keepNext w:val="0"/>
        <w:keepLines w:val="0"/>
        <w:pageBreakBefore w:val="0"/>
        <w:widowControl w:val="0"/>
        <w:kinsoku/>
        <w:wordWrap/>
        <w:overflowPunct/>
        <w:topLinePunct w:val="0"/>
        <w:autoSpaceDE/>
        <w:autoSpaceDN/>
        <w:bidi w:val="0"/>
        <w:adjustRightInd w:val="0"/>
        <w:snapToGrid w:val="0"/>
        <w:spacing w:line="400" w:lineRule="atLeast"/>
        <w:ind w:firstLine="240" w:firstLineChars="100"/>
        <w:textAlignment w:val="auto"/>
        <w:rPr>
          <w:rFonts w:hint="eastAsia" w:ascii="仿宋" w:hAnsi="仿宋" w:eastAsia="仿宋" w:cs="仿宋"/>
          <w:sz w:val="24"/>
          <w:szCs w:val="21"/>
        </w:rPr>
      </w:pPr>
      <w:bookmarkStart w:id="157" w:name="_Toc16938550"/>
      <w:bookmarkStart w:id="158" w:name="_Toc513029234"/>
      <w:bookmarkStart w:id="159" w:name="_Toc20823306"/>
      <w:r>
        <w:rPr>
          <w:rFonts w:hint="eastAsia" w:ascii="仿宋" w:hAnsi="仿宋" w:eastAsia="仿宋" w:cs="仿宋"/>
          <w:sz w:val="24"/>
          <w:szCs w:val="21"/>
        </w:rPr>
        <w:t>26.</w:t>
      </w:r>
      <w:r>
        <w:rPr>
          <w:rFonts w:hint="eastAsia" w:ascii="仿宋" w:hAnsi="仿宋" w:eastAsia="仿宋" w:cs="仿宋"/>
          <w:sz w:val="24"/>
          <w:szCs w:val="21"/>
          <w:lang w:val="en-US" w:eastAsia="zh-CN"/>
        </w:rPr>
        <w:t>9</w:t>
      </w:r>
      <w:r>
        <w:rPr>
          <w:rFonts w:hint="eastAsia" w:ascii="仿宋" w:hAnsi="仿宋" w:eastAsia="仿宋" w:cs="仿宋"/>
          <w:sz w:val="24"/>
          <w:szCs w:val="21"/>
        </w:rPr>
        <w:t>供应商在项目评审全过程中应保持通讯畅通，并安排专人与</w:t>
      </w:r>
      <w:r>
        <w:rPr>
          <w:rFonts w:hint="eastAsia" w:ascii="仿宋" w:hAnsi="仿宋" w:eastAsia="仿宋" w:cs="仿宋"/>
          <w:sz w:val="24"/>
          <w:szCs w:val="21"/>
          <w:lang w:eastAsia="zh-CN"/>
        </w:rPr>
        <w:t>代理机构</w:t>
      </w:r>
      <w:r>
        <w:rPr>
          <w:rFonts w:hint="eastAsia" w:ascii="仿宋" w:hAnsi="仿宋" w:eastAsia="仿宋" w:cs="仿宋"/>
          <w:sz w:val="24"/>
          <w:szCs w:val="21"/>
        </w:rPr>
        <w:t>及磋商小组联系。</w:t>
      </w:r>
    </w:p>
    <w:p w14:paraId="189F0C9D">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27、</w:t>
      </w:r>
      <w:bookmarkEnd w:id="157"/>
      <w:bookmarkEnd w:id="158"/>
      <w:bookmarkEnd w:id="159"/>
      <w:r>
        <w:rPr>
          <w:rFonts w:hint="eastAsia" w:ascii="仿宋" w:hAnsi="仿宋" w:eastAsia="仿宋" w:cs="仿宋"/>
          <w:b/>
          <w:bCs/>
          <w:sz w:val="28"/>
          <w:szCs w:val="28"/>
        </w:rPr>
        <w:t>磋商程序及评审方法和评审标准</w:t>
      </w:r>
    </w:p>
    <w:p w14:paraId="0277B635">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27.1磋商程序</w:t>
      </w:r>
    </w:p>
    <w:p w14:paraId="38ACFE53">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5A7D3D8">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85E8FF6">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b/>
          <w:bCs/>
          <w:sz w:val="24"/>
          <w:szCs w:val="24"/>
          <w:lang w:val="en-US" w:eastAsia="zh-CN"/>
        </w:rPr>
        <w:t>（20分钟）提交最后报价</w:t>
      </w:r>
      <w:r>
        <w:rPr>
          <w:rFonts w:hint="eastAsia" w:ascii="仿宋" w:hAnsi="仿宋" w:eastAsia="仿宋" w:cs="仿宋"/>
          <w:sz w:val="24"/>
          <w:szCs w:val="24"/>
        </w:rPr>
        <w:t>。</w:t>
      </w:r>
    </w:p>
    <w:p w14:paraId="4761792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265038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w:t>
      </w:r>
      <w:r>
        <w:rPr>
          <w:rFonts w:hint="eastAsia" w:ascii="仿宋" w:hAnsi="仿宋" w:eastAsia="仿宋" w:cs="仿宋"/>
          <w:sz w:val="24"/>
          <w:szCs w:val="21"/>
          <w:lang w:val="en-US" w:eastAsia="zh-CN"/>
        </w:rPr>
        <w:t>管</w:t>
      </w:r>
      <w:r>
        <w:rPr>
          <w:rFonts w:hint="eastAsia" w:ascii="仿宋" w:hAnsi="仿宋" w:eastAsia="仿宋" w:cs="仿宋"/>
          <w:sz w:val="24"/>
          <w:szCs w:val="21"/>
        </w:rPr>
        <w:t>理暂行办法》第三条</w:t>
      </w:r>
      <w:r>
        <w:rPr>
          <w:rFonts w:hint="eastAsia" w:ascii="仿宋" w:hAnsi="仿宋" w:eastAsia="仿宋" w:cs="仿宋"/>
          <w:sz w:val="24"/>
          <w:szCs w:val="21"/>
          <w:lang w:eastAsia="zh-CN"/>
        </w:rPr>
        <w:t>第一款</w:t>
      </w:r>
      <w:r>
        <w:rPr>
          <w:rFonts w:hint="eastAsia" w:ascii="仿宋" w:hAnsi="仿宋" w:eastAsia="仿宋" w:cs="仿宋"/>
          <w:sz w:val="24"/>
          <w:szCs w:val="21"/>
        </w:rPr>
        <w:t>第四项及《财政部关于竞争性磋商采购方式管理暂行办法有关问题的补充通知》（财库〔</w:t>
      </w:r>
      <w:r>
        <w:rPr>
          <w:rFonts w:hint="eastAsia" w:ascii="仿宋" w:hAnsi="仿宋" w:eastAsia="仿宋" w:cs="仿宋"/>
          <w:sz w:val="24"/>
          <w:szCs w:val="21"/>
          <w:lang w:val="en-US" w:eastAsia="zh-CN"/>
        </w:rPr>
        <w:t>2015</w:t>
      </w:r>
      <w:r>
        <w:rPr>
          <w:rFonts w:hint="eastAsia" w:ascii="仿宋" w:hAnsi="仿宋" w:eastAsia="仿宋" w:cs="仿宋"/>
          <w:sz w:val="24"/>
          <w:szCs w:val="21"/>
        </w:rPr>
        <w:t>〕124号）规定情形的，提交最后报价的供应商可以为2家。</w:t>
      </w:r>
    </w:p>
    <w:p w14:paraId="4050616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D44F64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27.2 评审方法和评审标准</w:t>
      </w:r>
    </w:p>
    <w:p w14:paraId="69E70B9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12424D0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C68C99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27.2.2评审标准</w:t>
      </w:r>
    </w:p>
    <w:p w14:paraId="06FB00F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见本磋商文件第五章规定。</w:t>
      </w:r>
    </w:p>
    <w:p w14:paraId="74527C4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27.3采购活动终止的情况</w:t>
      </w:r>
    </w:p>
    <w:p w14:paraId="6A8C98A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0A2BE61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12E4C78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27.3.2出现影响采购公正的违法、违规行为的。</w:t>
      </w:r>
    </w:p>
    <w:p w14:paraId="000C047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6D2E576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60" w:name="_Toc20823307"/>
      <w:bookmarkStart w:id="161" w:name="_Toc513029235"/>
      <w:bookmarkStart w:id="162" w:name="_Toc120614219"/>
      <w:bookmarkStart w:id="163" w:name="_Toc16938551"/>
    </w:p>
    <w:p w14:paraId="039D057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27.3.5</w:t>
      </w:r>
      <w:r>
        <w:rPr>
          <w:rFonts w:hint="eastAsia" w:ascii="仿宋" w:hAnsi="仿宋" w:eastAsia="仿宋" w:cs="仿宋"/>
          <w:sz w:val="24"/>
          <w:szCs w:val="21"/>
        </w:rPr>
        <w:t>因重大变故，采购任务取消的。</w:t>
      </w:r>
    </w:p>
    <w:p w14:paraId="45ADB38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27.3.6</w:t>
      </w:r>
      <w:r>
        <w:rPr>
          <w:rFonts w:hint="eastAsia" w:ascii="仿宋" w:hAnsi="仿宋" w:eastAsia="仿宋" w:cs="仿宋"/>
          <w:sz w:val="24"/>
          <w:szCs w:val="21"/>
        </w:rPr>
        <w:t>磋商小组认定磋商文件存在歧义、重大缺陷导致评审工作无法进行。</w:t>
      </w:r>
    </w:p>
    <w:p w14:paraId="25A33D0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27.3.7</w:t>
      </w:r>
      <w:r>
        <w:rPr>
          <w:rFonts w:hint="eastAsia" w:ascii="仿宋" w:hAnsi="仿宋" w:eastAsia="仿宋" w:cs="仿宋"/>
          <w:sz w:val="24"/>
          <w:szCs w:val="21"/>
        </w:rPr>
        <w:t>因系统故障原因造成磋商无法继续进行的。</w:t>
      </w:r>
    </w:p>
    <w:p w14:paraId="5E1A662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27.4</w:t>
      </w:r>
      <w:r>
        <w:rPr>
          <w:rFonts w:hint="eastAsia" w:ascii="仿宋" w:hAnsi="仿宋" w:eastAsia="仿宋" w:cs="仿宋"/>
          <w:sz w:val="24"/>
          <w:szCs w:val="21"/>
        </w:rPr>
        <w:t>响应文件提交截止时间结束后参加磋商的供应商不足三家的处理：</w:t>
      </w:r>
    </w:p>
    <w:p w14:paraId="426C0ED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27.4.1</w:t>
      </w:r>
      <w:r>
        <w:rPr>
          <w:rFonts w:hint="eastAsia" w:ascii="仿宋" w:hAnsi="仿宋" w:eastAsia="仿宋" w:cs="仿宋"/>
          <w:sz w:val="24"/>
          <w:szCs w:val="21"/>
        </w:rPr>
        <w:t>如出现响应文件提交截止时间结束后参加磋商的供应商或者在评审期间对磋商文件做出实质响应的供应商不足三家情况，按政府采购相关规定执行。</w:t>
      </w:r>
    </w:p>
    <w:p w14:paraId="3FDC884B">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六、</w:t>
      </w:r>
      <w:bookmarkEnd w:id="160"/>
      <w:bookmarkEnd w:id="161"/>
      <w:bookmarkEnd w:id="162"/>
      <w:bookmarkEnd w:id="163"/>
      <w:r>
        <w:rPr>
          <w:rFonts w:hint="eastAsia" w:ascii="仿宋" w:hAnsi="仿宋" w:eastAsia="仿宋" w:cs="仿宋"/>
          <w:b/>
          <w:bCs/>
          <w:sz w:val="32"/>
          <w:szCs w:val="32"/>
        </w:rPr>
        <w:t>成交</w:t>
      </w:r>
    </w:p>
    <w:p w14:paraId="5E1ED0CC">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64" w:name="_Toc513029238"/>
      <w:bookmarkStart w:id="165" w:name="_Toc16938554"/>
      <w:bookmarkStart w:id="166" w:name="_Toc20823310"/>
      <w:r>
        <w:rPr>
          <w:rFonts w:hint="eastAsia" w:ascii="仿宋" w:hAnsi="仿宋" w:eastAsia="仿宋" w:cs="仿宋"/>
          <w:b/>
          <w:bCs/>
          <w:sz w:val="28"/>
          <w:szCs w:val="28"/>
        </w:rPr>
        <w:t>28、</w:t>
      </w:r>
      <w:bookmarkEnd w:id="164"/>
      <w:r>
        <w:rPr>
          <w:rFonts w:hint="eastAsia" w:ascii="仿宋" w:hAnsi="仿宋" w:eastAsia="仿宋" w:cs="仿宋"/>
          <w:b/>
          <w:bCs/>
          <w:sz w:val="28"/>
          <w:szCs w:val="28"/>
        </w:rPr>
        <w:t>确定</w:t>
      </w:r>
      <w:bookmarkEnd w:id="165"/>
      <w:bookmarkEnd w:id="166"/>
      <w:r>
        <w:rPr>
          <w:rFonts w:hint="eastAsia" w:ascii="仿宋" w:hAnsi="仿宋" w:eastAsia="仿宋" w:cs="仿宋"/>
          <w:b/>
          <w:bCs/>
          <w:sz w:val="28"/>
          <w:szCs w:val="28"/>
        </w:rPr>
        <w:t>成交单位</w:t>
      </w:r>
    </w:p>
    <w:p w14:paraId="616F2AC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50359B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F1E247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非单一产品采购项目，磋商文件中将载明其中的核心产品。多家供应商提供的核心产品</w:t>
      </w:r>
      <w:r>
        <w:rPr>
          <w:rFonts w:hint="eastAsia" w:ascii="仿宋" w:hAnsi="仿宋" w:eastAsia="仿宋" w:cs="仿宋"/>
          <w:color w:val="auto"/>
          <w:sz w:val="24"/>
          <w:szCs w:val="21"/>
          <w:lang w:eastAsia="zh-CN"/>
        </w:rPr>
        <w:t>品牌型号</w:t>
      </w:r>
      <w:r>
        <w:rPr>
          <w:rFonts w:hint="eastAsia" w:ascii="仿宋" w:hAnsi="仿宋" w:eastAsia="仿宋" w:cs="仿宋"/>
          <w:color w:val="auto"/>
          <w:sz w:val="24"/>
          <w:szCs w:val="21"/>
        </w:rPr>
        <w:t>相同的，按前款规定处理。</w:t>
      </w:r>
    </w:p>
    <w:p w14:paraId="2CE2CDE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color w:val="auto"/>
          <w:sz w:val="24"/>
          <w:szCs w:val="21"/>
        </w:rPr>
        <w:t>28.2采购人在评标报告确定的成交候选人名单中按顺序确定成交供应商。</w:t>
      </w:r>
      <w:r>
        <w:rPr>
          <w:rFonts w:hint="eastAsia" w:ascii="仿宋" w:hAnsi="仿宋" w:eastAsia="仿宋" w:cs="仿宋"/>
          <w:bCs/>
          <w:sz w:val="24"/>
          <w:szCs w:val="21"/>
          <w:lang w:val="en-US" w:eastAsia="zh-CN"/>
        </w:rPr>
        <w:t>确定</w:t>
      </w:r>
      <w:r>
        <w:rPr>
          <w:rFonts w:hint="eastAsia" w:ascii="仿宋" w:hAnsi="仿宋" w:eastAsia="仿宋" w:cs="仿宋"/>
          <w:bCs/>
          <w:sz w:val="24"/>
          <w:szCs w:val="21"/>
        </w:rPr>
        <w:t>成交供应商之日起2个工作日内，</w:t>
      </w:r>
      <w:r>
        <w:rPr>
          <w:rFonts w:hint="eastAsia" w:ascii="仿宋" w:hAnsi="仿宋" w:eastAsia="仿宋" w:cs="仿宋"/>
          <w:bCs/>
          <w:sz w:val="24"/>
          <w:szCs w:val="21"/>
          <w:lang w:val="en-US" w:eastAsia="zh-CN"/>
        </w:rPr>
        <w:t>代理机构将</w:t>
      </w:r>
      <w:r>
        <w:rPr>
          <w:rFonts w:hint="eastAsia" w:ascii="仿宋" w:hAnsi="仿宋" w:eastAsia="仿宋" w:cs="仿宋"/>
          <w:bCs/>
          <w:sz w:val="24"/>
          <w:szCs w:val="21"/>
        </w:rPr>
        <w:t>在</w:t>
      </w:r>
      <w:r>
        <w:rPr>
          <w:rFonts w:hint="eastAsia" w:ascii="仿宋" w:hAnsi="仿宋" w:eastAsia="仿宋" w:cs="仿宋"/>
          <w:bCs/>
          <w:sz w:val="24"/>
          <w:szCs w:val="21"/>
          <w:lang w:eastAsia="zh-CN"/>
        </w:rPr>
        <w:t>“</w:t>
      </w:r>
      <w:r>
        <w:rPr>
          <w:rFonts w:hint="eastAsia" w:ascii="仿宋" w:hAnsi="仿宋" w:eastAsia="仿宋" w:cs="仿宋"/>
          <w:bCs/>
          <w:sz w:val="24"/>
          <w:szCs w:val="21"/>
          <w:lang w:val="en-US" w:eastAsia="zh-CN"/>
        </w:rPr>
        <w:t>江苏政府采购网</w:t>
      </w:r>
      <w:r>
        <w:rPr>
          <w:rFonts w:hint="eastAsia" w:ascii="仿宋" w:hAnsi="仿宋" w:eastAsia="仿宋" w:cs="仿宋"/>
          <w:bCs/>
          <w:sz w:val="24"/>
          <w:szCs w:val="21"/>
          <w:lang w:eastAsia="zh-CN"/>
        </w:rPr>
        <w:t>”</w:t>
      </w:r>
      <w:r>
        <w:rPr>
          <w:rFonts w:hint="eastAsia" w:ascii="仿宋" w:hAnsi="仿宋" w:eastAsia="仿宋" w:cs="仿宋"/>
          <w:bCs/>
          <w:sz w:val="24"/>
          <w:szCs w:val="21"/>
          <w:lang w:val="en-US" w:eastAsia="zh-CN"/>
        </w:rPr>
        <w:t>发布</w:t>
      </w:r>
      <w:r>
        <w:rPr>
          <w:rFonts w:hint="eastAsia" w:ascii="仿宋" w:hAnsi="仿宋" w:eastAsia="仿宋" w:cs="仿宋"/>
          <w:bCs/>
          <w:sz w:val="24"/>
          <w:szCs w:val="21"/>
        </w:rPr>
        <w:t>成交结果公告，公告期限为1个工作日。</w:t>
      </w:r>
    </w:p>
    <w:p w14:paraId="3040FCF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5022048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28.3.1提供虚假材料谋取成交的。</w:t>
      </w:r>
    </w:p>
    <w:p w14:paraId="28DB394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highlight w:val="none"/>
        </w:rPr>
      </w:pPr>
      <w:r>
        <w:rPr>
          <w:rFonts w:hint="eastAsia" w:ascii="仿宋" w:hAnsi="仿宋" w:eastAsia="仿宋" w:cs="仿宋"/>
          <w:bCs/>
          <w:sz w:val="24"/>
          <w:szCs w:val="21"/>
        </w:rPr>
        <w:t>28.3.2</w:t>
      </w:r>
      <w:r>
        <w:rPr>
          <w:rFonts w:hint="eastAsia" w:ascii="仿宋" w:hAnsi="仿宋" w:eastAsia="仿宋" w:cs="仿宋"/>
          <w:bCs/>
          <w:sz w:val="24"/>
          <w:szCs w:val="21"/>
          <w:highlight w:val="none"/>
        </w:rPr>
        <w:t>与</w:t>
      </w:r>
      <w:r>
        <w:rPr>
          <w:rFonts w:hint="eastAsia" w:ascii="仿宋" w:hAnsi="仿宋" w:eastAsia="仿宋" w:cs="仿宋"/>
          <w:bCs/>
          <w:sz w:val="24"/>
          <w:szCs w:val="21"/>
          <w:highlight w:val="none"/>
          <w:lang w:val="en-US" w:eastAsia="zh-CN"/>
        </w:rPr>
        <w:t>评审专家</w:t>
      </w:r>
      <w:r>
        <w:rPr>
          <w:rFonts w:hint="eastAsia" w:ascii="仿宋" w:hAnsi="仿宋" w:eastAsia="仿宋" w:cs="仿宋"/>
          <w:bCs/>
          <w:sz w:val="24"/>
          <w:szCs w:val="21"/>
          <w:highlight w:val="none"/>
        </w:rPr>
        <w:t>、采购人、其他供应商或者</w:t>
      </w:r>
      <w:r>
        <w:rPr>
          <w:rFonts w:hint="eastAsia" w:ascii="仿宋" w:hAnsi="仿宋" w:eastAsia="仿宋" w:cs="仿宋"/>
          <w:bCs/>
          <w:sz w:val="24"/>
          <w:szCs w:val="21"/>
          <w:highlight w:val="none"/>
          <w:lang w:eastAsia="zh-CN"/>
        </w:rPr>
        <w:t>代理机构</w:t>
      </w:r>
      <w:r>
        <w:rPr>
          <w:rFonts w:hint="eastAsia" w:ascii="仿宋" w:hAnsi="仿宋" w:eastAsia="仿宋" w:cs="仿宋"/>
          <w:bCs/>
          <w:sz w:val="24"/>
          <w:szCs w:val="21"/>
          <w:highlight w:val="none"/>
        </w:rPr>
        <w:t>工作人员恶意串通的。</w:t>
      </w:r>
    </w:p>
    <w:p w14:paraId="36E54B0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highlight w:val="none"/>
        </w:rPr>
        <w:t>28.3.3向</w:t>
      </w:r>
      <w:r>
        <w:rPr>
          <w:rFonts w:hint="eastAsia" w:ascii="仿宋" w:hAnsi="仿宋" w:eastAsia="仿宋" w:cs="仿宋"/>
          <w:bCs/>
          <w:sz w:val="24"/>
          <w:szCs w:val="21"/>
          <w:highlight w:val="none"/>
          <w:lang w:val="en-US" w:eastAsia="zh-CN"/>
        </w:rPr>
        <w:t>评审专家</w:t>
      </w:r>
      <w:r>
        <w:rPr>
          <w:rFonts w:hint="eastAsia" w:ascii="仿宋" w:hAnsi="仿宋" w:eastAsia="仿宋" w:cs="仿宋"/>
          <w:bCs/>
          <w:sz w:val="24"/>
          <w:szCs w:val="21"/>
          <w:highlight w:val="none"/>
        </w:rPr>
        <w:t>、采</w:t>
      </w:r>
      <w:r>
        <w:rPr>
          <w:rFonts w:hint="eastAsia" w:ascii="仿宋" w:hAnsi="仿宋" w:eastAsia="仿宋" w:cs="仿宋"/>
          <w:bCs/>
          <w:sz w:val="24"/>
          <w:szCs w:val="21"/>
        </w:rPr>
        <w:t>购人或</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工作人员行贿或者提供其他不正当利益的。</w:t>
      </w:r>
    </w:p>
    <w:p w14:paraId="4852AD3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2520161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4B57E96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28.3.</w:t>
      </w:r>
      <w:r>
        <w:rPr>
          <w:rFonts w:hint="eastAsia" w:ascii="仿宋" w:hAnsi="仿宋" w:eastAsia="仿宋" w:cs="仿宋"/>
          <w:sz w:val="24"/>
          <w:szCs w:val="24"/>
          <w:lang w:val="en-US" w:eastAsia="zh-CN"/>
        </w:rPr>
        <w:t>6</w:t>
      </w:r>
      <w:r>
        <w:rPr>
          <w:rFonts w:hint="eastAsia" w:ascii="仿宋" w:hAnsi="仿宋" w:eastAsia="仿宋" w:cs="仿宋"/>
          <w:sz w:val="24"/>
          <w:szCs w:val="24"/>
        </w:rPr>
        <w:t>将政府采购合同转包的。</w:t>
      </w:r>
    </w:p>
    <w:p w14:paraId="3D4DDBA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28.4</w:t>
      </w:r>
      <w:r>
        <w:rPr>
          <w:rFonts w:hint="eastAsia" w:ascii="仿宋" w:hAnsi="仿宋" w:eastAsia="仿宋" w:cs="仿宋"/>
          <w:sz w:val="24"/>
          <w:szCs w:val="24"/>
        </w:rPr>
        <w:t>有下列情形之一的，视为供应商串通参与磋商，响应无效：</w:t>
      </w:r>
    </w:p>
    <w:p w14:paraId="065C854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.1不同供应商的响应文件由同一单位或者个人编制；</w:t>
      </w:r>
    </w:p>
    <w:p w14:paraId="1572F2E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.2不同供应商委托同一单位或者个人办理磋商事宜；</w:t>
      </w:r>
    </w:p>
    <w:p w14:paraId="3DA1643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.3不同供应商的响应文件载明的项目管理成员或者联系人员为同一人；</w:t>
      </w:r>
    </w:p>
    <w:p w14:paraId="51C08A0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.4不同供应商的响应文件异常一</w:t>
      </w:r>
      <w:r>
        <w:rPr>
          <w:rFonts w:hint="eastAsia" w:ascii="仿宋" w:hAnsi="仿宋" w:eastAsia="仿宋" w:cs="仿宋"/>
          <w:bCs/>
          <w:sz w:val="24"/>
          <w:szCs w:val="21"/>
          <w:highlight w:val="none"/>
        </w:rPr>
        <w:t>致或者响应报价呈规律性差异。</w:t>
      </w:r>
    </w:p>
    <w:p w14:paraId="0363E78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67" w:name="_Toc200451960"/>
      <w:r>
        <w:rPr>
          <w:rFonts w:hint="eastAsia" w:ascii="仿宋" w:hAnsi="仿宋" w:eastAsia="仿宋" w:cs="仿宋"/>
          <w:b/>
          <w:bCs/>
          <w:sz w:val="28"/>
          <w:szCs w:val="28"/>
        </w:rPr>
        <w:t>29、质疑处理</w:t>
      </w:r>
      <w:bookmarkEnd w:id="167"/>
    </w:p>
    <w:p w14:paraId="44FB622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01F66EC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代理机构</w:t>
      </w:r>
      <w:r>
        <w:rPr>
          <w:rFonts w:hint="eastAsia" w:ascii="仿宋" w:hAnsi="仿宋" w:eastAsia="仿宋" w:cs="仿宋"/>
          <w:sz w:val="24"/>
          <w:szCs w:val="24"/>
        </w:rPr>
        <w:t>提出质疑。上述应知其权益受到损害之日，是指：</w:t>
      </w:r>
    </w:p>
    <w:p w14:paraId="080D3BC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29.2.1对可以质疑的采购文件提出质疑的，为收到采购文件之日或者采购文件公告期限届满之日。</w:t>
      </w:r>
    </w:p>
    <w:p w14:paraId="6108AFA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29.2.2对采购过程提出质疑的，为各采购程序环节结束之日。</w:t>
      </w:r>
    </w:p>
    <w:p w14:paraId="34DD004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29.2.3对成交结果提出质疑的，为成交结果公告期限届满之日。</w:t>
      </w:r>
    </w:p>
    <w:p w14:paraId="43F7198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代理机构</w:t>
      </w:r>
      <w:r>
        <w:rPr>
          <w:rFonts w:hint="eastAsia" w:ascii="仿宋" w:hAnsi="仿宋" w:eastAsia="仿宋" w:cs="仿宋"/>
          <w:sz w:val="24"/>
          <w:szCs w:val="24"/>
        </w:rPr>
        <w:t>将只对供应商第一次质疑作出答复。</w:t>
      </w:r>
    </w:p>
    <w:p w14:paraId="50067B66">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29.3质疑函必须按照本磋商文件中《质疑函范本》</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附件12</w:t>
      </w:r>
      <w:r>
        <w:rPr>
          <w:rFonts w:hint="eastAsia" w:ascii="仿宋" w:hAnsi="仿宋" w:eastAsia="仿宋" w:cs="仿宋"/>
          <w:sz w:val="24"/>
          <w:szCs w:val="24"/>
          <w:lang w:eastAsia="zh-CN"/>
        </w:rPr>
        <w:t>）</w:t>
      </w:r>
      <w:r>
        <w:rPr>
          <w:rFonts w:hint="eastAsia" w:ascii="仿宋" w:hAnsi="仿宋" w:eastAsia="仿宋" w:cs="仿宋"/>
          <w:sz w:val="24"/>
          <w:szCs w:val="24"/>
        </w:rPr>
        <w:t>要求的格式和内容进行填写。供应商如组成联合体参加磋商，则《质疑函范本》中要求签字、盖章、加盖公章之处，联合体各方均须按要求签字、盖章、加盖公章。</w:t>
      </w:r>
    </w:p>
    <w:p w14:paraId="7F471AC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w:t>
      </w:r>
      <w:r>
        <w:rPr>
          <w:rFonts w:hint="eastAsia" w:ascii="仿宋" w:hAnsi="仿宋" w:eastAsia="仿宋" w:cs="仿宋"/>
          <w:sz w:val="24"/>
          <w:szCs w:val="24"/>
          <w:lang w:val="en-US" w:eastAsia="zh-CN"/>
        </w:rPr>
        <w:t>等应当由采购人答复</w:t>
      </w:r>
      <w:r>
        <w:rPr>
          <w:rFonts w:hint="eastAsia" w:ascii="仿宋" w:hAnsi="仿宋" w:eastAsia="仿宋" w:cs="仿宋"/>
          <w:sz w:val="24"/>
          <w:szCs w:val="24"/>
        </w:rPr>
        <w:t>的询问、质疑</w:t>
      </w:r>
      <w:r>
        <w:rPr>
          <w:rFonts w:hint="eastAsia" w:ascii="仿宋" w:hAnsi="仿宋" w:eastAsia="仿宋" w:cs="仿宋"/>
          <w:sz w:val="24"/>
          <w:szCs w:val="24"/>
          <w:lang w:eastAsia="zh-CN"/>
        </w:rPr>
        <w:t>，</w:t>
      </w:r>
      <w:r>
        <w:rPr>
          <w:rFonts w:hint="eastAsia" w:ascii="仿宋" w:hAnsi="仿宋" w:eastAsia="仿宋" w:cs="仿宋"/>
          <w:sz w:val="24"/>
          <w:szCs w:val="24"/>
        </w:rPr>
        <w:t>请向采购人提出，由采购人负责答复。供应商对其他事项的询问、质疑请向</w:t>
      </w:r>
      <w:r>
        <w:rPr>
          <w:rFonts w:hint="eastAsia" w:ascii="仿宋" w:hAnsi="仿宋" w:eastAsia="仿宋" w:cs="仿宋"/>
          <w:sz w:val="24"/>
          <w:szCs w:val="24"/>
          <w:lang w:eastAsia="zh-CN"/>
        </w:rPr>
        <w:t>代理机构</w:t>
      </w:r>
      <w:r>
        <w:rPr>
          <w:rFonts w:hint="eastAsia" w:ascii="仿宋" w:hAnsi="仿宋" w:eastAsia="仿宋" w:cs="仿宋"/>
          <w:sz w:val="24"/>
          <w:szCs w:val="24"/>
        </w:rPr>
        <w:t>提出</w:t>
      </w:r>
      <w:r>
        <w:rPr>
          <w:rFonts w:hint="eastAsia" w:ascii="仿宋" w:hAnsi="仿宋" w:eastAsia="仿宋" w:cs="仿宋"/>
          <w:sz w:val="24"/>
          <w:szCs w:val="24"/>
          <w:lang w:eastAsia="zh-CN"/>
        </w:rPr>
        <w:t>，</w:t>
      </w:r>
      <w:r>
        <w:rPr>
          <w:rFonts w:hint="eastAsia" w:ascii="仿宋" w:hAnsi="仿宋" w:eastAsia="仿宋" w:cs="仿宋"/>
          <w:sz w:val="24"/>
          <w:szCs w:val="24"/>
        </w:rPr>
        <w:t>由</w:t>
      </w:r>
      <w:r>
        <w:rPr>
          <w:rFonts w:hint="eastAsia" w:ascii="仿宋" w:hAnsi="仿宋" w:eastAsia="仿宋" w:cs="仿宋"/>
          <w:sz w:val="24"/>
          <w:szCs w:val="24"/>
          <w:lang w:eastAsia="zh-CN"/>
        </w:rPr>
        <w:t>代理机构</w:t>
      </w:r>
      <w:r>
        <w:rPr>
          <w:rFonts w:hint="eastAsia" w:ascii="仿宋" w:hAnsi="仿宋" w:eastAsia="仿宋" w:cs="仿宋"/>
          <w:sz w:val="24"/>
          <w:szCs w:val="24"/>
        </w:rPr>
        <w:t>负责答复。</w:t>
      </w:r>
    </w:p>
    <w:p w14:paraId="212101BC">
      <w:pPr>
        <w:keepNext w:val="0"/>
        <w:keepLines w:val="0"/>
        <w:pageBreakBefore w:val="0"/>
        <w:widowControl w:val="0"/>
        <w:kinsoku/>
        <w:wordWrap/>
        <w:overflowPunct/>
        <w:topLinePunct w:val="0"/>
        <w:autoSpaceDE/>
        <w:autoSpaceDN/>
        <w:bidi w:val="0"/>
        <w:adjustRightInd/>
        <w:snapToGrid w:val="0"/>
        <w:spacing w:line="400" w:lineRule="atLeas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采购人及</w:t>
      </w:r>
      <w:r>
        <w:rPr>
          <w:rFonts w:hint="eastAsia" w:ascii="仿宋" w:hAnsi="仿宋" w:eastAsia="仿宋" w:cs="仿宋"/>
          <w:b/>
          <w:bCs/>
          <w:sz w:val="24"/>
          <w:szCs w:val="24"/>
          <w:lang w:eastAsia="zh-CN"/>
        </w:rPr>
        <w:t>代理机构</w:t>
      </w:r>
      <w:r>
        <w:rPr>
          <w:rFonts w:hint="eastAsia" w:ascii="仿宋" w:hAnsi="仿宋" w:eastAsia="仿宋" w:cs="仿宋"/>
          <w:b/>
          <w:bCs/>
          <w:sz w:val="24"/>
          <w:szCs w:val="24"/>
        </w:rPr>
        <w:t>只接收以纸质原件形式送达的质疑</w:t>
      </w:r>
      <w:r>
        <w:rPr>
          <w:rFonts w:hint="eastAsia" w:ascii="仿宋" w:hAnsi="仿宋" w:eastAsia="仿宋" w:cs="仿宋"/>
          <w:sz w:val="24"/>
          <w:szCs w:val="24"/>
        </w:rPr>
        <w:t>,建议供应商尽量通过邮寄方式提交质疑（</w:t>
      </w:r>
      <w:r>
        <w:rPr>
          <w:rFonts w:hint="eastAsia" w:ascii="仿宋" w:hAnsi="仿宋" w:eastAsia="仿宋" w:cs="仿宋"/>
          <w:b/>
          <w:bCs/>
          <w:color w:val="FF0000"/>
          <w:sz w:val="24"/>
          <w:szCs w:val="24"/>
        </w:rPr>
        <w:t>采购人和</w:t>
      </w:r>
      <w:r>
        <w:rPr>
          <w:rFonts w:hint="eastAsia" w:ascii="仿宋" w:hAnsi="仿宋" w:eastAsia="仿宋" w:cs="仿宋"/>
          <w:b/>
          <w:bCs/>
          <w:color w:val="FF0000"/>
          <w:sz w:val="24"/>
          <w:szCs w:val="24"/>
          <w:lang w:eastAsia="zh-CN"/>
        </w:rPr>
        <w:t>代理机构</w:t>
      </w:r>
      <w:r>
        <w:rPr>
          <w:rFonts w:hint="eastAsia" w:ascii="仿宋" w:hAnsi="仿宋" w:eastAsia="仿宋" w:cs="仿宋"/>
          <w:b/>
          <w:bCs/>
          <w:color w:val="FF0000"/>
          <w:sz w:val="24"/>
          <w:szCs w:val="24"/>
        </w:rPr>
        <w:t>不接受无快递运单号的快递</w:t>
      </w:r>
      <w:r>
        <w:rPr>
          <w:rFonts w:hint="eastAsia" w:ascii="仿宋" w:hAnsi="仿宋" w:eastAsia="仿宋" w:cs="仿宋"/>
          <w:sz w:val="24"/>
          <w:szCs w:val="24"/>
        </w:rPr>
        <w:t>）。</w:t>
      </w:r>
    </w:p>
    <w:p w14:paraId="2AFDFF23">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rPr>
      </w:pPr>
      <w:r>
        <w:rPr>
          <w:rFonts w:hint="eastAsia" w:ascii="仿宋" w:hAnsi="仿宋" w:eastAsia="仿宋" w:cs="仿宋"/>
          <w:sz w:val="24"/>
          <w:szCs w:val="24"/>
        </w:rPr>
        <w:t>采购人</w:t>
      </w:r>
      <w:r>
        <w:rPr>
          <w:rFonts w:hint="eastAsia" w:ascii="仿宋" w:hAnsi="仿宋" w:eastAsia="仿宋" w:cs="仿宋"/>
          <w:sz w:val="24"/>
          <w:szCs w:val="24"/>
          <w:lang w:val="en-US" w:eastAsia="zh-CN"/>
        </w:rPr>
        <w:t>和</w:t>
      </w:r>
      <w:r>
        <w:rPr>
          <w:rFonts w:hint="eastAsia" w:ascii="仿宋" w:hAnsi="仿宋" w:eastAsia="仿宋" w:cs="仿宋"/>
          <w:color w:val="000000"/>
          <w:sz w:val="24"/>
          <w:szCs w:val="24"/>
          <w:highlight w:val="none"/>
          <w:lang w:eastAsia="zh-CN"/>
        </w:rPr>
        <w:t>代理机构</w:t>
      </w:r>
      <w:r>
        <w:rPr>
          <w:rFonts w:hint="eastAsia" w:ascii="仿宋" w:hAnsi="仿宋" w:eastAsia="仿宋" w:cs="仿宋"/>
          <w:sz w:val="24"/>
          <w:szCs w:val="24"/>
        </w:rPr>
        <w:t>质疑接收人及联系方式</w:t>
      </w:r>
      <w:r>
        <w:rPr>
          <w:rFonts w:hint="eastAsia" w:ascii="仿宋" w:hAnsi="仿宋" w:eastAsia="仿宋" w:cs="仿宋"/>
          <w:sz w:val="24"/>
          <w:szCs w:val="24"/>
          <w:lang w:eastAsia="zh-CN"/>
        </w:rPr>
        <w:t>，</w:t>
      </w:r>
      <w:r>
        <w:rPr>
          <w:rFonts w:hint="eastAsia" w:ascii="仿宋" w:hAnsi="仿宋" w:eastAsia="仿宋" w:cs="仿宋"/>
          <w:sz w:val="24"/>
          <w:szCs w:val="24"/>
        </w:rPr>
        <w:t>见本磋商文件第一章。</w:t>
      </w:r>
    </w:p>
    <w:p w14:paraId="5852BE53">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 以下情形的质疑不予受理</w:t>
      </w:r>
    </w:p>
    <w:p w14:paraId="05125512">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66620197">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29.5.2 超出政府采购法定期限的质疑。</w:t>
      </w:r>
    </w:p>
    <w:p w14:paraId="17195F55">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0BBC0001">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72FD82EB">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6EEC7ED0">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w:t>
      </w:r>
      <w:r>
        <w:rPr>
          <w:rFonts w:hint="eastAsia" w:ascii="仿宋" w:hAnsi="仿宋" w:eastAsia="仿宋" w:cs="仿宋"/>
          <w:sz w:val="24"/>
          <w:szCs w:val="24"/>
          <w:lang w:eastAsia="zh-CN"/>
        </w:rPr>
        <w:t>代理机构</w:t>
      </w:r>
      <w:r>
        <w:rPr>
          <w:rFonts w:hint="eastAsia" w:ascii="仿宋" w:hAnsi="仿宋" w:eastAsia="仿宋" w:cs="仿宋"/>
          <w:sz w:val="24"/>
          <w:szCs w:val="24"/>
          <w:lang w:val="en-US" w:eastAsia="zh-CN"/>
        </w:rPr>
        <w:t>及采购人</w:t>
      </w:r>
      <w:r>
        <w:rPr>
          <w:rFonts w:hint="eastAsia" w:ascii="仿宋" w:hAnsi="仿宋" w:eastAsia="仿宋" w:cs="仿宋"/>
          <w:sz w:val="24"/>
          <w:szCs w:val="24"/>
        </w:rPr>
        <w:t>有权依据政府采购的有关规定，报请政府采购监管部门对该供应商进行相应的行政处罚和记录该供应商的失信信息。</w:t>
      </w:r>
    </w:p>
    <w:p w14:paraId="56729AA1">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30、成交通知书</w:t>
      </w:r>
    </w:p>
    <w:p w14:paraId="40BA81F3">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30.1成交结果确定后，</w:t>
      </w:r>
      <w:r>
        <w:rPr>
          <w:rFonts w:hint="eastAsia" w:ascii="仿宋" w:hAnsi="仿宋" w:eastAsia="仿宋" w:cs="仿宋"/>
          <w:sz w:val="24"/>
          <w:szCs w:val="24"/>
          <w:lang w:eastAsia="zh-CN"/>
        </w:rPr>
        <w:t>代理机构</w:t>
      </w:r>
      <w:r>
        <w:rPr>
          <w:rFonts w:hint="eastAsia" w:ascii="仿宋" w:hAnsi="仿宋" w:eastAsia="仿宋" w:cs="仿宋"/>
          <w:sz w:val="24"/>
          <w:szCs w:val="24"/>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983CCD">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412CE46D">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168" w:name="_Toc120614220"/>
      <w:bookmarkStart w:id="169" w:name="_Toc513029236"/>
      <w:bookmarkStart w:id="170" w:name="_Toc20823308"/>
      <w:bookmarkStart w:id="171" w:name="_Toc16938552"/>
      <w:r>
        <w:rPr>
          <w:rFonts w:hint="eastAsia" w:ascii="仿宋" w:hAnsi="仿宋" w:eastAsia="仿宋" w:cs="仿宋"/>
          <w:b/>
          <w:bCs/>
          <w:sz w:val="32"/>
          <w:szCs w:val="32"/>
        </w:rPr>
        <w:t>七、授予合同</w:t>
      </w:r>
      <w:bookmarkEnd w:id="168"/>
    </w:p>
    <w:bookmarkEnd w:id="169"/>
    <w:bookmarkEnd w:id="170"/>
    <w:bookmarkEnd w:id="171"/>
    <w:p w14:paraId="6330F5A1">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72" w:name="_Toc20823309"/>
      <w:bookmarkStart w:id="173" w:name="_Toc16938553"/>
      <w:bookmarkStart w:id="174" w:name="_Toc513029237"/>
      <w:r>
        <w:rPr>
          <w:rFonts w:hint="eastAsia" w:ascii="仿宋" w:hAnsi="仿宋" w:eastAsia="仿宋" w:cs="仿宋"/>
          <w:b/>
          <w:bCs/>
          <w:sz w:val="28"/>
          <w:szCs w:val="28"/>
        </w:rPr>
        <w:t>31. 签订合同</w:t>
      </w:r>
    </w:p>
    <w:p w14:paraId="1BE49BB0">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b/>
          <w:bCs/>
          <w:sz w:val="24"/>
          <w:szCs w:val="24"/>
          <w:lang w:eastAsia="zh-CN"/>
        </w:rPr>
        <w:t>代理机构</w:t>
      </w:r>
      <w:r>
        <w:rPr>
          <w:rFonts w:hint="eastAsia" w:ascii="仿宋" w:hAnsi="仿宋" w:eastAsia="仿宋" w:cs="仿宋"/>
          <w:b/>
          <w:bCs/>
          <w:sz w:val="24"/>
          <w:szCs w:val="24"/>
        </w:rPr>
        <w:t>和采购</w:t>
      </w:r>
      <w:r>
        <w:rPr>
          <w:rFonts w:hint="eastAsia" w:ascii="仿宋" w:hAnsi="仿宋" w:eastAsia="仿宋" w:cs="仿宋"/>
          <w:b/>
          <w:bCs/>
          <w:sz w:val="24"/>
          <w:szCs w:val="24"/>
          <w:lang w:eastAsia="zh-CN"/>
        </w:rPr>
        <w:t>人</w:t>
      </w:r>
      <w:r>
        <w:rPr>
          <w:rFonts w:hint="eastAsia" w:ascii="仿宋" w:hAnsi="仿宋" w:eastAsia="仿宋" w:cs="仿宋"/>
          <w:b/>
          <w:bCs/>
          <w:sz w:val="24"/>
          <w:szCs w:val="24"/>
        </w:rPr>
        <w:t>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003925CE">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076D822F">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688AB0C3">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32、货物和服务的追加、减少和添购。</w:t>
      </w:r>
    </w:p>
    <w:bookmarkEnd w:id="172"/>
    <w:bookmarkEnd w:id="173"/>
    <w:bookmarkEnd w:id="174"/>
    <w:p w14:paraId="60A43524">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color w:val="auto"/>
          <w:sz w:val="24"/>
          <w:szCs w:val="24"/>
        </w:rPr>
      </w:pPr>
      <w:bookmarkStart w:id="175" w:name="_Toc513029242"/>
      <w:bookmarkStart w:id="176" w:name="_Toc479757207"/>
      <w:bookmarkStart w:id="177" w:name="_Toc120614221"/>
      <w:bookmarkStart w:id="178" w:name="_Toc16938558"/>
      <w:bookmarkStart w:id="179" w:name="_Toc20823314"/>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2.1政府采购合同履行中，采购人需追加与合同标的相同的货物和服务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包含与货物相关的服务及与服务相关的货物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的，在不改变合同其他条款的前提下，可以与成交供应商协商签订补充合同，但所有补充合同的采购金额不超过原合同金额10%。</w:t>
      </w:r>
    </w:p>
    <w:p w14:paraId="2D8317A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合同。</w:t>
      </w:r>
    </w:p>
    <w:p w14:paraId="6BCDB654">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33、政府采购履约资金扶持政策</w:t>
      </w:r>
    </w:p>
    <w:p w14:paraId="010459A5">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根据《关于深入开展南通市政府采购线上合同信用融资工作的通知》（通财购〔2022〕68号），对政府采购成交（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成交）供应商如需获得合同信用融资支持，可凭政府采购合同办理“政采贷”融资贷款，详情请见江苏政府采购网-政采贷专栏。</w:t>
      </w:r>
    </w:p>
    <w:p w14:paraId="0E3548D3">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rPr>
      </w:pPr>
      <w:r>
        <w:rPr>
          <w:rFonts w:hint="eastAsia" w:ascii="仿宋" w:hAnsi="仿宋" w:eastAsia="仿宋" w:cs="仿宋"/>
          <w:color w:val="auto"/>
          <w:sz w:val="24"/>
          <w:szCs w:val="24"/>
          <w:lang w:val="en-US" w:eastAsia="zh-CN"/>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bookmarkStart w:id="180" w:name="_Toc9490"/>
      <w:bookmarkStart w:id="181" w:name="_Toc20527"/>
      <w:bookmarkStart w:id="182" w:name="_Toc23575"/>
    </w:p>
    <w:p w14:paraId="02DFD3FB">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Cs/>
          <w:sz w:val="44"/>
          <w:szCs w:val="28"/>
        </w:rPr>
      </w:pPr>
      <w:r>
        <w:rPr>
          <w:rFonts w:hint="eastAsia" w:ascii="仿宋" w:hAnsi="仿宋" w:eastAsia="仿宋" w:cs="仿宋"/>
          <w:b/>
          <w:bCs w:val="0"/>
          <w:sz w:val="44"/>
          <w:szCs w:val="28"/>
        </w:rPr>
        <w:t>第三章  合同</w:t>
      </w:r>
      <w:bookmarkEnd w:id="175"/>
      <w:bookmarkEnd w:id="176"/>
      <w:bookmarkEnd w:id="177"/>
      <w:bookmarkEnd w:id="178"/>
      <w:bookmarkEnd w:id="179"/>
      <w:r>
        <w:rPr>
          <w:rFonts w:hint="eastAsia" w:ascii="仿宋" w:hAnsi="仿宋" w:eastAsia="仿宋" w:cs="仿宋"/>
          <w:b/>
          <w:bCs w:val="0"/>
          <w:sz w:val="44"/>
          <w:szCs w:val="28"/>
        </w:rPr>
        <w:t>文本</w:t>
      </w:r>
      <w:bookmarkEnd w:id="180"/>
      <w:bookmarkEnd w:id="181"/>
      <w:bookmarkEnd w:id="182"/>
    </w:p>
    <w:p w14:paraId="48BF5F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b/>
          <w:bCs w:val="0"/>
          <w:sz w:val="24"/>
          <w:szCs w:val="21"/>
          <w:highlight w:val="cyan"/>
          <w:lang w:val="en-US" w:eastAsia="zh-CN"/>
        </w:rPr>
      </w:pPr>
      <w:bookmarkStart w:id="183" w:name="_Toc513029243"/>
      <w:bookmarkStart w:id="184" w:name="_Toc16938559"/>
      <w:bookmarkStart w:id="185" w:name="_Toc20823315"/>
      <w:r>
        <w:rPr>
          <w:rFonts w:hint="eastAsia" w:ascii="仿宋" w:hAnsi="仿宋" w:eastAsia="仿宋" w:cs="仿宋"/>
          <w:bCs/>
          <w:sz w:val="24"/>
          <w:szCs w:val="21"/>
        </w:rPr>
        <w:t>以下为成交后签定本项目合同的通用条款，成交供应商不得提出实质性的修改。</w:t>
      </w:r>
    </w:p>
    <w:p w14:paraId="1404AA2B">
      <w:pPr>
        <w:widowControl w:val="0"/>
        <w:wordWrap/>
        <w:adjustRightInd/>
        <w:snapToGrid w:val="0"/>
        <w:spacing w:beforeLines="50" w:afterLines="50" w:line="500" w:lineRule="exact"/>
        <w:jc w:val="center"/>
        <w:textAlignment w:val="auto"/>
        <w:outlineLvl w:val="0"/>
        <w:rPr>
          <w:rFonts w:hint="eastAsia" w:ascii="黑体" w:hAnsi="黑体" w:eastAsia="黑体" w:cs="黑体"/>
          <w:b/>
          <w:bCs/>
          <w:sz w:val="32"/>
          <w:szCs w:val="32"/>
        </w:rPr>
      </w:pPr>
      <w:bookmarkStart w:id="186" w:name="_Toc22069"/>
      <w:bookmarkStart w:id="187" w:name="_Toc6917"/>
      <w:bookmarkStart w:id="188" w:name="_Toc23391"/>
      <w:r>
        <w:rPr>
          <w:rFonts w:hint="eastAsia" w:ascii="仿宋" w:hAnsi="仿宋" w:eastAsia="仿宋" w:cs="仿宋"/>
          <w:b/>
          <w:bCs/>
          <w:sz w:val="32"/>
          <w:szCs w:val="32"/>
        </w:rPr>
        <w:t>江苏省政府采购合同（合同编号）</w:t>
      </w:r>
      <w:bookmarkEnd w:id="186"/>
      <w:bookmarkEnd w:id="187"/>
      <w:bookmarkEnd w:id="188"/>
    </w:p>
    <w:p w14:paraId="79BA29AF">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lang w:eastAsia="zh-CN"/>
        </w:rPr>
        <w:t>如东县公安局县局食堂餐饮服务项目</w:t>
      </w:r>
      <w:r>
        <w:rPr>
          <w:rFonts w:hint="eastAsia" w:ascii="仿宋" w:hAnsi="仿宋" w:eastAsia="仿宋" w:cs="仿宋"/>
          <w:sz w:val="24"/>
          <w:szCs w:val="24"/>
        </w:rPr>
        <w:t xml:space="preserve">                                 </w:t>
      </w:r>
    </w:p>
    <w:p w14:paraId="7BE0507B">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1307F395">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甲方：（买方）</w:t>
      </w:r>
      <w:r>
        <w:rPr>
          <w:rFonts w:hint="eastAsia" w:ascii="仿宋" w:hAnsi="仿宋" w:eastAsia="仿宋" w:cs="仿宋"/>
          <w:sz w:val="24"/>
          <w:u w:val="single"/>
        </w:rPr>
        <w:t>如东县公安局</w:t>
      </w:r>
    </w:p>
    <w:p w14:paraId="0A610A08">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乙方：（卖方）_</w:t>
      </w:r>
      <w:r>
        <w:rPr>
          <w:rFonts w:hint="eastAsia" w:ascii="仿宋" w:hAnsi="仿宋" w:eastAsia="仿宋" w:cs="仿宋"/>
          <w:sz w:val="24"/>
          <w:szCs w:val="24"/>
          <w:u w:val="single"/>
        </w:rPr>
        <w:t>****</w:t>
      </w:r>
    </w:p>
    <w:p w14:paraId="224616F7">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《中华人民共和国政府采购法》等有关的法律法规，以及</w:t>
      </w:r>
      <w:r>
        <w:rPr>
          <w:rFonts w:hint="eastAsia" w:ascii="仿宋" w:hAnsi="仿宋" w:eastAsia="仿宋" w:cs="仿宋"/>
          <w:sz w:val="24"/>
          <w:szCs w:val="24"/>
          <w:lang w:eastAsia="zh-CN"/>
        </w:rPr>
        <w:t>本采购项目</w:t>
      </w:r>
      <w:r>
        <w:rPr>
          <w:rFonts w:hint="eastAsia" w:ascii="仿宋" w:hAnsi="仿宋" w:eastAsia="仿宋" w:cs="仿宋"/>
          <w:sz w:val="24"/>
          <w:szCs w:val="24"/>
        </w:rPr>
        <w:t>的</w:t>
      </w:r>
      <w:r>
        <w:rPr>
          <w:rFonts w:hint="eastAsia" w:ascii="仿宋" w:hAnsi="仿宋" w:eastAsia="仿宋" w:cs="仿宋"/>
          <w:sz w:val="24"/>
          <w:szCs w:val="24"/>
          <w:lang w:val="en-US" w:eastAsia="zh-CN"/>
        </w:rPr>
        <w:t>磋商</w:t>
      </w:r>
      <w:r>
        <w:rPr>
          <w:rFonts w:hint="eastAsia" w:ascii="仿宋" w:hAnsi="仿宋" w:eastAsia="仿宋" w:cs="仿宋"/>
          <w:sz w:val="24"/>
          <w:szCs w:val="24"/>
        </w:rPr>
        <w:t>文件</w:t>
      </w:r>
      <w:r>
        <w:rPr>
          <w:rFonts w:hint="eastAsia" w:ascii="仿宋" w:hAnsi="仿宋" w:eastAsia="仿宋" w:cs="仿宋"/>
          <w:sz w:val="24"/>
          <w:szCs w:val="24"/>
          <w:lang w:eastAsia="zh-CN"/>
        </w:rPr>
        <w:t>、</w:t>
      </w:r>
      <w:r>
        <w:rPr>
          <w:rFonts w:hint="eastAsia" w:ascii="仿宋" w:hAnsi="仿宋" w:eastAsia="仿宋" w:cs="仿宋"/>
          <w:sz w:val="24"/>
          <w:szCs w:val="24"/>
        </w:rPr>
        <w:t xml:space="preserve">乙方的《响应文件》及《成交通知书》，甲乙双方同意签订本合同。具体情况及要求如下： </w:t>
      </w:r>
    </w:p>
    <w:p w14:paraId="035AD4A6">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一、合同内容</w:t>
      </w:r>
    </w:p>
    <w:p w14:paraId="64404FA4">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34C97DAC">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w:t>
      </w:r>
    </w:p>
    <w:p w14:paraId="4BBA785B">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35338381">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 履行时间（期限）：</w:t>
      </w:r>
      <w:r>
        <w:rPr>
          <w:rFonts w:hint="eastAsia" w:ascii="仿宋" w:hAnsi="仿宋" w:eastAsia="仿宋" w:cs="仿宋"/>
          <w:sz w:val="24"/>
          <w:szCs w:val="24"/>
          <w:u w:val="single"/>
        </w:rPr>
        <w:t>****</w:t>
      </w:r>
    </w:p>
    <w:p w14:paraId="113D53E4">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5EA3F4F3">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w:t>
      </w:r>
    </w:p>
    <w:p w14:paraId="29AC9B10">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b w:val="0"/>
          <w:bCs w:val="0"/>
          <w:sz w:val="24"/>
          <w:szCs w:val="24"/>
          <w:highlight w:val="cyan"/>
        </w:rPr>
      </w:pPr>
      <w:r>
        <w:rPr>
          <w:rFonts w:hint="eastAsia" w:ascii="仿宋" w:hAnsi="仿宋" w:eastAsia="仿宋" w:cs="仿宋"/>
          <w:sz w:val="24"/>
          <w:szCs w:val="24"/>
        </w:rPr>
        <w:t>1.7 包装方式</w:t>
      </w:r>
      <w:r>
        <w:rPr>
          <w:rFonts w:hint="eastAsia" w:ascii="仿宋" w:hAnsi="仿宋" w:eastAsia="仿宋" w:cs="仿宋"/>
          <w:sz w:val="24"/>
          <w:szCs w:val="24"/>
          <w:lang w:eastAsia="zh-CN"/>
        </w:rPr>
        <w:t>：</w:t>
      </w:r>
      <w:r>
        <w:rPr>
          <w:rFonts w:hint="eastAsia" w:ascii="仿宋" w:hAnsi="仿宋" w:eastAsia="仿宋" w:cs="仿宋"/>
          <w:sz w:val="24"/>
          <w:szCs w:val="24"/>
          <w:u w:val="single"/>
        </w:rPr>
        <w:t>****</w:t>
      </w:r>
    </w:p>
    <w:p w14:paraId="467727EC">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二、合同金额</w:t>
      </w:r>
    </w:p>
    <w:p w14:paraId="6537534A">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u w:val="single"/>
        </w:rPr>
        <w:t>****</w:t>
      </w:r>
      <w:r>
        <w:rPr>
          <w:rFonts w:hint="eastAsia" w:ascii="仿宋" w:hAnsi="仿宋" w:eastAsia="仿宋" w:cs="仿宋"/>
          <w:sz w:val="24"/>
          <w:szCs w:val="24"/>
          <w:lang w:val="en-US" w:eastAsia="zh-CN"/>
        </w:rPr>
        <w:t>元</w:t>
      </w:r>
      <w:r>
        <w:rPr>
          <w:rFonts w:hint="eastAsia" w:ascii="仿宋" w:hAnsi="仿宋" w:eastAsia="仿宋" w:cs="仿宋"/>
          <w:sz w:val="24"/>
          <w:szCs w:val="24"/>
        </w:rPr>
        <w:t>（</w:t>
      </w:r>
      <w:r>
        <w:rPr>
          <w:rFonts w:hint="eastAsia" w:ascii="仿宋" w:hAnsi="仿宋" w:eastAsia="仿宋" w:cs="仿宋"/>
          <w:sz w:val="24"/>
          <w:szCs w:val="24"/>
          <w:u w:val="single"/>
        </w:rPr>
        <w:t>****</w:t>
      </w:r>
      <w:r>
        <w:rPr>
          <w:rFonts w:hint="eastAsia" w:ascii="仿宋" w:hAnsi="仿宋" w:eastAsia="仿宋" w:cs="仿宋"/>
          <w:sz w:val="24"/>
          <w:szCs w:val="24"/>
        </w:rPr>
        <w:t>元）人民币。</w:t>
      </w:r>
    </w:p>
    <w:p w14:paraId="75E8BBB5">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三、技术资料</w:t>
      </w:r>
    </w:p>
    <w:p w14:paraId="177EAAA5">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3.1乙方应按磋商文件规定的时间向甲方提供与合同标的有关的技术资料。</w:t>
      </w:r>
    </w:p>
    <w:p w14:paraId="50ADF49C">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407EF8D">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四、知识产权</w:t>
      </w:r>
    </w:p>
    <w:p w14:paraId="490C7D26">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4.1乙方应保证甲方在使用、接受本合同标的或其任何一部分时不受第三方提出侵犯其专利权、版权、商标权和工业设计权等知识产权的起诉。一旦出现侵权，由乙方负全部责任。</w:t>
      </w:r>
    </w:p>
    <w:p w14:paraId="5B0B1D9B">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五、产权担保</w:t>
      </w:r>
    </w:p>
    <w:p w14:paraId="37BEDF9B">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 乙方保证所交付的合同标的的所有权完全属于乙方且无任何抵押、查封等产权瑕疵。</w:t>
      </w:r>
    </w:p>
    <w:p w14:paraId="03F4B5F9">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六、履约保证金</w:t>
      </w:r>
    </w:p>
    <w:p w14:paraId="2DDB288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 乙方交纳人民币</w:t>
      </w:r>
      <w:r>
        <w:rPr>
          <w:rFonts w:hint="eastAsia" w:ascii="仿宋" w:hAnsi="仿宋" w:eastAsia="仿宋" w:cs="仿宋"/>
          <w:sz w:val="24"/>
          <w:szCs w:val="24"/>
          <w:u w:val="single"/>
        </w:rPr>
        <w:t>****</w:t>
      </w:r>
      <w:r>
        <w:rPr>
          <w:rFonts w:hint="eastAsia" w:ascii="仿宋" w:hAnsi="仿宋" w:eastAsia="仿宋" w:cs="仿宋"/>
          <w:color w:val="auto"/>
          <w:sz w:val="24"/>
          <w:szCs w:val="24"/>
          <w:lang w:val="en-US" w:eastAsia="zh-CN"/>
        </w:rPr>
        <w:t>元作为本合同的履约保证金。</w:t>
      </w:r>
    </w:p>
    <w:p w14:paraId="3C189B8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6.2合同履行结束后，甲方应及时退还交纳的履约保证金。</w:t>
      </w:r>
    </w:p>
    <w:p w14:paraId="188FC25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6.2.1履约保证金退还方式：</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37AD2100">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7BD46E1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p>
    <w:p w14:paraId="50C4C2E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6.2.4发生以下情况的，履约保证金不予退还或部分退还：</w:t>
      </w:r>
    </w:p>
    <w:p w14:paraId="16D0B78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6.2.4.1 签订合同后，乙方不履行合同义务的，甲方有权全额扣除履约保证金，全额不予退还，同时甲方亦有权终止合同，乙方还须承担相应的法律赔偿责任。</w:t>
      </w:r>
    </w:p>
    <w:p w14:paraId="6793EE8D">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6.2.4.2 乙方在履约过程中发生违约行为，给甲方造成损失的，甲方有权在乙方缴纳的履约保证金中予以扣款，以弥补甲方经济损失，不足的部分乙方另外补齐。</w:t>
      </w:r>
    </w:p>
    <w:p w14:paraId="5CB43CBA">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七、合同转包或分包</w:t>
      </w:r>
    </w:p>
    <w:p w14:paraId="1207CAA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7.1乙方不得将合同标的转包给他人履行。</w:t>
      </w:r>
    </w:p>
    <w:p w14:paraId="5DF7519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7.2乙方不得将合同标的分包给他人履行。</w:t>
      </w:r>
    </w:p>
    <w:p w14:paraId="7AA94C9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7.3乙方如有转包或未经甲方同意的分包行为，甲方有权解除合同。</w:t>
      </w:r>
    </w:p>
    <w:p w14:paraId="046E76BA">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八、合同款项支付</w:t>
      </w:r>
    </w:p>
    <w:p w14:paraId="44B226B9">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1、按年度合同价款的总金额拆分到月，并以季度（3个月）为单位计算，分4个季度支付；</w:t>
      </w:r>
    </w:p>
    <w:p w14:paraId="3E445DA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2、成交供应商于每季度最后一个月30号前提供正式发票，通过银行帐号汇入成交供应商指定帐户。</w:t>
      </w:r>
    </w:p>
    <w:p w14:paraId="4157D90D">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九、税费</w:t>
      </w:r>
    </w:p>
    <w:p w14:paraId="3668603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9.1本合同执行中相关的一切税费均由乙方负担。</w:t>
      </w:r>
    </w:p>
    <w:p w14:paraId="710BB743">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十、项目验收</w:t>
      </w:r>
    </w:p>
    <w:p w14:paraId="51CF801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10.1 甲方依法组织履约验收工作。</w:t>
      </w:r>
    </w:p>
    <w:p w14:paraId="58FF8B4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11214C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10.3 对于实际使用人和甲方分离的项目，甲方邀请实际使用人参与验收。</w:t>
      </w:r>
    </w:p>
    <w:p w14:paraId="147A079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10.4 如有必要，甲方邀请参加本项目的其他供应商或第三方专业机构及专家参与验收，相关意见将作为验收书的参考资料。</w:t>
      </w:r>
    </w:p>
    <w:p w14:paraId="6F196314">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FD3A59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6B20616">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color w:val="auto"/>
          <w:sz w:val="24"/>
          <w:szCs w:val="24"/>
          <w:highlight w:val="cyan"/>
          <w:lang w:val="en-US" w:eastAsia="zh-CN"/>
        </w:rPr>
      </w:pPr>
      <w:r>
        <w:rPr>
          <w:rFonts w:hint="eastAsia" w:ascii="仿宋" w:hAnsi="仿宋" w:eastAsia="仿宋" w:cs="仿宋"/>
          <w:b/>
          <w:bCs/>
          <w:sz w:val="32"/>
          <w:szCs w:val="32"/>
        </w:rPr>
        <w:t>十一、货物的包装、发运及运输</w:t>
      </w:r>
    </w:p>
    <w:p w14:paraId="7FBEFF78">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51456D90">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11.2 使用说明书、质量检验证明书、随配附件和工具以及清单一并附于货物内。</w:t>
      </w:r>
    </w:p>
    <w:p w14:paraId="27173843">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11.3 乙方在货物发运手续办理完毕后</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小时内或货到甲方</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小时前通知甲方，以准备接货。</w:t>
      </w:r>
    </w:p>
    <w:p w14:paraId="207894E2">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11.4 货物在交付甲方前发生的风险均由乙方负责。</w:t>
      </w:r>
    </w:p>
    <w:p w14:paraId="0191F224">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11.5 货物在规定的交付期限内由乙方送达甲方指定的地点视为交付，乙方同时需通知甲方货物已送达。</w:t>
      </w:r>
    </w:p>
    <w:p w14:paraId="42D2C373">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、违约责任</w:t>
      </w:r>
    </w:p>
    <w:p w14:paraId="6058DFB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的违约金。</w:t>
      </w:r>
    </w:p>
    <w:p w14:paraId="0AEC7FC9">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每日向乙方支付违约金。</w:t>
      </w:r>
    </w:p>
    <w:p w14:paraId="5FEF0BE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12.3 乙方逾期交付合同标的的，乙方应按逾期交付合同总额每日</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向甲方支付违约金，由甲方从待付合同款项中扣除。逾期超过约定日期</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p>
    <w:p w14:paraId="7D3FB6CC">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12.4 乙方交付合同标的的标准不符合合同规定及磋商文件规定标准的，甲方有权拒绝接受合同标的，并可单方面解除合同。</w:t>
      </w:r>
    </w:p>
    <w:p w14:paraId="6DFBBB02">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、不可抗力事件处理</w:t>
      </w:r>
    </w:p>
    <w:p w14:paraId="0F664C38">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lang w:val="en-US" w:eastAsia="zh-CN"/>
        </w:rPr>
        <w:t>13.1 在合同有效期内，任何一方因不可抗力事件导致不能履行合同，则合同履行期可延长，其延长期与不可抗力影响期相同</w:t>
      </w:r>
      <w:r>
        <w:rPr>
          <w:rFonts w:hint="eastAsia" w:ascii="仿宋" w:hAnsi="仿宋" w:eastAsia="仿宋" w:cs="仿宋"/>
          <w:sz w:val="24"/>
          <w:szCs w:val="24"/>
        </w:rPr>
        <w:t>。</w:t>
      </w:r>
    </w:p>
    <w:p w14:paraId="4E61D10D">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.2 不可抗力事件发生后，应立即通知对方，并寄送有关权威机构出具的证明。</w:t>
      </w:r>
    </w:p>
    <w:p w14:paraId="4920A308">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.3 不可抗力事件延续</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天以上，双方应通过友好协商，确定是否继续履行合同。</w:t>
      </w:r>
    </w:p>
    <w:p w14:paraId="60683DB4">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、解决争议的方法</w:t>
      </w:r>
    </w:p>
    <w:p w14:paraId="47D6D9E6">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14.1双方在签订、履行合同中所发生的一切争议，应通过友好协商解决。如协商不成，由甲方住所地人民法院管辖。</w:t>
      </w:r>
    </w:p>
    <w:p w14:paraId="769E1F53">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五</w:t>
      </w:r>
      <w:r>
        <w:rPr>
          <w:rFonts w:hint="eastAsia" w:ascii="仿宋" w:hAnsi="仿宋" w:eastAsia="仿宋" w:cs="仿宋"/>
          <w:b/>
          <w:bCs/>
          <w:sz w:val="32"/>
          <w:szCs w:val="32"/>
        </w:rPr>
        <w:t>、合同生效及其它</w:t>
      </w:r>
    </w:p>
    <w:p w14:paraId="57555E35">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.1 合同经双方法定代表人或授权委托代表人签字并加盖单位公章后生效。</w:t>
      </w:r>
    </w:p>
    <w:p w14:paraId="053BF36C">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.2本合同未尽事宜，遵照中华人民共和国现行法律法规有关条文执行。</w:t>
      </w:r>
    </w:p>
    <w:p w14:paraId="69EDCC05">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.3 本合同正本一式</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u w:val="none"/>
        </w:rPr>
        <w:t>份</w:t>
      </w:r>
      <w:r>
        <w:rPr>
          <w:rFonts w:hint="eastAsia" w:ascii="仿宋" w:hAnsi="仿宋" w:eastAsia="仿宋" w:cs="仿宋"/>
          <w:sz w:val="24"/>
          <w:szCs w:val="24"/>
        </w:rPr>
        <w:t>，具有同等法律效力。</w:t>
      </w:r>
    </w:p>
    <w:p w14:paraId="57A9C11B">
      <w:pPr>
        <w:keepNext w:val="0"/>
        <w:keepLines w:val="0"/>
        <w:pageBreakBefore w:val="0"/>
        <w:widowControl w:val="0"/>
        <w:kinsoku/>
        <w:wordWrap/>
        <w:overflowPunct/>
        <w:topLinePunct w:val="0"/>
        <w:autoSpaceDE/>
        <w:autoSpaceDN/>
        <w:bidi w:val="0"/>
        <w:adjustRightInd w:val="0"/>
        <w:snapToGrid w:val="0"/>
        <w:spacing w:before="120" w:after="120" w:line="440" w:lineRule="exact"/>
        <w:ind w:left="480" w:hanging="480" w:hanging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p>
    <w:p w14:paraId="7CE15062">
      <w:pPr>
        <w:keepNext w:val="0"/>
        <w:keepLines w:val="0"/>
        <w:pageBreakBefore w:val="0"/>
        <w:widowControl w:val="0"/>
        <w:kinsoku/>
        <w:wordWrap/>
        <w:overflowPunct/>
        <w:topLinePunct w:val="0"/>
        <w:autoSpaceDE/>
        <w:autoSpaceDN/>
        <w:bidi w:val="0"/>
        <w:adjustRightInd w:val="0"/>
        <w:snapToGrid w:val="0"/>
        <w:spacing w:before="120" w:after="120" w:line="440" w:lineRule="exact"/>
        <w:ind w:left="480" w:hanging="480" w:hangingChars="200"/>
        <w:textAlignment w:val="auto"/>
        <w:rPr>
          <w:rFonts w:hint="eastAsia" w:ascii="仿宋" w:hAnsi="仿宋" w:eastAsia="仿宋" w:cs="仿宋"/>
          <w:sz w:val="24"/>
          <w:szCs w:val="24"/>
          <w:lang w:val="en-US" w:eastAsia="zh-CN"/>
        </w:rPr>
      </w:pPr>
    </w:p>
    <w:p w14:paraId="70B4F808">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lang w:val="en-US" w:eastAsia="zh-CN"/>
        </w:rPr>
      </w:pPr>
    </w:p>
    <w:p w14:paraId="52E96C57">
      <w:pPr>
        <w:keepNext w:val="0"/>
        <w:keepLines w:val="0"/>
        <w:pageBreakBefore w:val="0"/>
        <w:widowControl w:val="0"/>
        <w:kinsoku/>
        <w:wordWrap/>
        <w:overflowPunct/>
        <w:topLinePunct w:val="0"/>
        <w:autoSpaceDE/>
        <w:autoSpaceDN/>
        <w:bidi w:val="0"/>
        <w:adjustRightInd w:val="0"/>
        <w:snapToGrid w:val="0"/>
        <w:spacing w:before="120" w:after="120" w:line="440" w:lineRule="exact"/>
        <w:ind w:left="479" w:leftChars="114" w:hanging="240" w:hangingChars="100"/>
        <w:textAlignment w:val="auto"/>
        <w:rPr>
          <w:rFonts w:hint="eastAsia" w:ascii="仿宋" w:hAnsi="仿宋" w:eastAsia="仿宋" w:cs="仿宋"/>
          <w:sz w:val="24"/>
          <w:szCs w:val="24"/>
        </w:rPr>
      </w:pPr>
      <w:r>
        <w:rPr>
          <w:rFonts w:hint="eastAsia" w:ascii="仿宋" w:hAnsi="仿宋" w:eastAsia="仿宋" w:cs="仿宋"/>
          <w:sz w:val="24"/>
          <w:szCs w:val="24"/>
        </w:rPr>
        <w:t xml:space="preserve"> 甲方：                        乙方： </w:t>
      </w:r>
    </w:p>
    <w:p w14:paraId="39343738">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地址：                        地址： </w:t>
      </w:r>
    </w:p>
    <w:p w14:paraId="4A1B2E7F">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6EE8DD68">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240" w:firstLineChars="100"/>
        <w:textAlignment w:val="auto"/>
        <w:rPr>
          <w:rFonts w:hint="eastAsia" w:ascii="仿宋" w:hAnsi="仿宋" w:eastAsia="仿宋" w:cs="仿宋"/>
          <w:szCs w:val="21"/>
        </w:rPr>
      </w:pPr>
      <w:r>
        <w:rPr>
          <w:rFonts w:hint="eastAsia" w:ascii="仿宋" w:hAnsi="仿宋" w:eastAsia="仿宋" w:cs="仿宋"/>
          <w:sz w:val="24"/>
          <w:szCs w:val="24"/>
        </w:rPr>
        <w:t xml:space="preserve">联系电话：                    联系电话：          </w:t>
      </w:r>
    </w:p>
    <w:p w14:paraId="297FA2AE">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年</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月</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日</w:t>
      </w:r>
    </w:p>
    <w:bookmarkEnd w:id="183"/>
    <w:bookmarkEnd w:id="184"/>
    <w:bookmarkEnd w:id="185"/>
    <w:p w14:paraId="3A2FC44B">
      <w:pPr>
        <w:snapToGrid w:val="0"/>
        <w:spacing w:before="120" w:after="120" w:line="0" w:lineRule="atLeast"/>
        <w:jc w:val="center"/>
        <w:outlineLvl w:val="0"/>
        <w:rPr>
          <w:rFonts w:hint="eastAsia" w:ascii="仿宋" w:hAnsi="仿宋" w:eastAsia="仿宋" w:cs="仿宋"/>
          <w:b/>
          <w:bCs w:val="0"/>
          <w:sz w:val="44"/>
          <w:szCs w:val="21"/>
        </w:rPr>
      </w:pPr>
      <w:bookmarkStart w:id="189" w:name="_Hlt16619369"/>
      <w:bookmarkEnd w:id="189"/>
      <w:bookmarkStart w:id="190" w:name="_Hlt16619350"/>
      <w:bookmarkStart w:id="191" w:name="_Toc120614244"/>
      <w:bookmarkStart w:id="192" w:name="_Toc20823346"/>
      <w:bookmarkStart w:id="193" w:name="_Toc16938590"/>
      <w:bookmarkStart w:id="194" w:name="_Toc479757211"/>
      <w:bookmarkStart w:id="195" w:name="_Toc462564139"/>
      <w:r>
        <w:rPr>
          <w:rFonts w:hint="eastAsia" w:ascii="仿宋" w:hAnsi="仿宋" w:eastAsia="仿宋" w:cs="仿宋"/>
          <w:bCs/>
          <w:sz w:val="24"/>
          <w:szCs w:val="24"/>
        </w:rPr>
        <w:br w:type="page"/>
      </w:r>
      <w:bookmarkStart w:id="196" w:name="_Toc14539"/>
      <w:bookmarkStart w:id="197" w:name="_Toc16952"/>
      <w:bookmarkStart w:id="198" w:name="_Toc20693"/>
      <w:r>
        <w:rPr>
          <w:rFonts w:hint="eastAsia" w:ascii="仿宋" w:hAnsi="仿宋" w:eastAsia="仿宋" w:cs="仿宋"/>
          <w:b/>
          <w:bCs w:val="0"/>
          <w:sz w:val="44"/>
          <w:szCs w:val="21"/>
        </w:rPr>
        <w:t>第</w:t>
      </w:r>
      <w:bookmarkEnd w:id="190"/>
      <w:r>
        <w:rPr>
          <w:rFonts w:hint="eastAsia" w:ascii="仿宋" w:hAnsi="仿宋" w:eastAsia="仿宋" w:cs="仿宋"/>
          <w:b/>
          <w:bCs w:val="0"/>
          <w:sz w:val="44"/>
          <w:szCs w:val="21"/>
        </w:rPr>
        <w:t>四章 采购需求</w:t>
      </w:r>
      <w:bookmarkEnd w:id="191"/>
      <w:bookmarkEnd w:id="192"/>
      <w:bookmarkEnd w:id="193"/>
      <w:bookmarkEnd w:id="196"/>
      <w:bookmarkEnd w:id="197"/>
      <w:bookmarkEnd w:id="198"/>
      <w:bookmarkStart w:id="199" w:name="_Toc26554093"/>
      <w:bookmarkStart w:id="200" w:name="_Toc49090575"/>
    </w:p>
    <w:p w14:paraId="73408F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供应商在制作响应文件时仔细研究项目需求说明。项目需求包括技术要求和商务要求:</w:t>
      </w:r>
    </w:p>
    <w:p w14:paraId="4B5A47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技术要求是指对采购标的功能和质量要求，包括性能、材料、结构、外观、安全，或者服务内容和标准等</w:t>
      </w:r>
      <w:r>
        <w:rPr>
          <w:rFonts w:hint="eastAsia" w:ascii="仿宋" w:hAnsi="仿宋" w:eastAsia="仿宋" w:cs="仿宋"/>
          <w:bCs/>
          <w:color w:val="auto"/>
          <w:sz w:val="24"/>
          <w:szCs w:val="24"/>
          <w:lang w:val="en-US" w:eastAsia="zh-CN"/>
        </w:rPr>
        <w:t>,</w:t>
      </w:r>
      <w:r>
        <w:rPr>
          <w:rFonts w:hint="eastAsia" w:ascii="仿宋" w:hAnsi="仿宋" w:eastAsia="仿宋" w:cs="仿宋"/>
          <w:b/>
          <w:bCs w:val="0"/>
          <w:i/>
          <w:iCs/>
          <w:color w:val="auto"/>
          <w:sz w:val="24"/>
          <w:szCs w:val="24"/>
          <w:u w:val="single"/>
        </w:rPr>
        <w:t>其中必须满足的实质性要求加斜体下划线</w:t>
      </w:r>
      <w:r>
        <w:rPr>
          <w:rFonts w:hint="eastAsia" w:ascii="仿宋" w:hAnsi="仿宋" w:eastAsia="仿宋" w:cs="仿宋"/>
          <w:bCs/>
          <w:color w:val="auto"/>
          <w:sz w:val="24"/>
          <w:szCs w:val="24"/>
          <w:lang w:val="en-US" w:eastAsia="zh-CN"/>
        </w:rPr>
        <w:t>。</w:t>
      </w:r>
    </w:p>
    <w:p w14:paraId="294AC9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商务要求是指取得采购标的的时间、地点、财务和服务要求，包括交付（实施）的时间（期限）和地点（范围）</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付款条件（进度和方法）</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包装和运输</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售后服务</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保险等</w:t>
      </w:r>
      <w:r>
        <w:rPr>
          <w:rFonts w:hint="eastAsia" w:ascii="仿宋" w:hAnsi="仿宋" w:eastAsia="仿宋" w:cs="仿宋"/>
          <w:bCs/>
          <w:color w:val="auto"/>
          <w:sz w:val="24"/>
          <w:szCs w:val="24"/>
          <w:lang w:val="en-US" w:eastAsia="zh-CN"/>
        </w:rPr>
        <w:t>,</w:t>
      </w:r>
      <w:r>
        <w:rPr>
          <w:rFonts w:hint="eastAsia" w:ascii="仿宋" w:hAnsi="仿宋" w:eastAsia="仿宋" w:cs="仿宋"/>
          <w:b/>
          <w:bCs w:val="0"/>
          <w:i/>
          <w:iCs/>
          <w:color w:val="auto"/>
          <w:sz w:val="24"/>
          <w:szCs w:val="24"/>
          <w:u w:val="single"/>
        </w:rPr>
        <w:t>其中必须满足的实质性要求加斜体下划线</w:t>
      </w:r>
      <w:r>
        <w:rPr>
          <w:rFonts w:hint="eastAsia" w:ascii="仿宋" w:hAnsi="仿宋" w:eastAsia="仿宋" w:cs="仿宋"/>
          <w:b/>
          <w:bCs w:val="0"/>
          <w:i/>
          <w:iCs/>
          <w:color w:val="auto"/>
          <w:sz w:val="24"/>
          <w:szCs w:val="24"/>
          <w:u w:val="none"/>
          <w:lang w:val="en-US" w:eastAsia="zh-CN"/>
        </w:rPr>
        <w:t>。</w:t>
      </w:r>
    </w:p>
    <w:p w14:paraId="1BE9FF2B">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一、</w:t>
      </w:r>
      <w:r>
        <w:rPr>
          <w:rFonts w:hint="eastAsia" w:ascii="仿宋" w:hAnsi="仿宋" w:eastAsia="仿宋" w:cs="仿宋"/>
          <w:b/>
          <w:bCs w:val="0"/>
          <w:color w:val="auto"/>
          <w:sz w:val="28"/>
          <w:szCs w:val="28"/>
        </w:rPr>
        <w:t>项目概况</w:t>
      </w:r>
    </w:p>
    <w:p w14:paraId="6B8B30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如东县公安局食堂位于如东县城中街道长江路1号附楼，建筑面积1704平方米，如东县公安局交管大队食堂位于掘港街道昆仑山路3号，二楼食堂建筑面积约500平方米。其中公安局机关食堂一层建筑面积625平方米，大厅有240个就餐卡座，可供工作人员分批就餐；公安局机关食堂二层为包厢7间，以提供自助餐为主，公安局机关大院工作人员共约有550人可持卡就餐。交管大队二楼食堂可供150人就餐。</w:t>
      </w:r>
    </w:p>
    <w:p w14:paraId="035F4135">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二、</w:t>
      </w:r>
      <w:r>
        <w:rPr>
          <w:rFonts w:hint="eastAsia" w:ascii="仿宋" w:hAnsi="仿宋" w:eastAsia="仿宋" w:cs="仿宋"/>
          <w:b/>
          <w:bCs w:val="0"/>
          <w:color w:val="auto"/>
          <w:sz w:val="28"/>
          <w:szCs w:val="28"/>
        </w:rPr>
        <w:t>项目</w:t>
      </w:r>
      <w:r>
        <w:rPr>
          <w:rFonts w:hint="eastAsia" w:ascii="仿宋" w:hAnsi="仿宋" w:eastAsia="仿宋" w:cs="仿宋"/>
          <w:b/>
          <w:bCs w:val="0"/>
          <w:color w:val="auto"/>
          <w:sz w:val="28"/>
          <w:szCs w:val="28"/>
          <w:lang w:val="en-US" w:eastAsia="zh-CN"/>
        </w:rPr>
        <w:t>内容</w:t>
      </w:r>
    </w:p>
    <w:p w14:paraId="0CC64B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公安局机关食堂一楼早餐（工作日约100人，非工作日约20人）、午餐（工作日约350人，非工作日约50人）、晚餐（工作日约50人，非工作日约30人）的餐饮服务；交管大队食堂早餐（工作日约20人，非工作日约10人）、午餐（工作日约100人，非工作日约20人）、晚餐（工作日约10人，非工作日约10人）的餐饮服务；每日就餐人数不固定，上述人数表达为相对平均值。</w:t>
      </w:r>
    </w:p>
    <w:p w14:paraId="02E7A7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2.公安局食堂二楼工作性接待的餐饮服务（以自助餐为主）；</w:t>
      </w:r>
    </w:p>
    <w:p w14:paraId="41ACFA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3.午餐采取自助式就餐（休息天、节假日需安排人员值班，保证就餐需求），菜谱种类：六菜一汤一水果（四荤两素）、两主食，公务接待按照相关标准执行（以自助餐为主）。</w:t>
      </w:r>
    </w:p>
    <w:p w14:paraId="49BCC442">
      <w:pPr>
        <w:pStyle w:val="7"/>
        <w:numPr>
          <w:ilvl w:val="0"/>
          <w:numId w:val="0"/>
        </w:numPr>
        <w:ind w:firstLine="562" w:firstLineChars="200"/>
        <w:rPr>
          <w:rFonts w:ascii="宋体" w:hAnsi="宋体" w:eastAsia="宋体" w:cs="Times New Roman"/>
          <w:bCs/>
          <w:sz w:val="24"/>
          <w:szCs w:val="24"/>
        </w:rPr>
      </w:pPr>
      <w:r>
        <w:rPr>
          <w:rFonts w:hint="eastAsia" w:ascii="仿宋" w:hAnsi="仿宋" w:eastAsia="仿宋" w:cs="仿宋"/>
          <w:b/>
          <w:bCs w:val="0"/>
          <w:color w:val="auto"/>
          <w:kern w:val="2"/>
          <w:sz w:val="28"/>
          <w:szCs w:val="28"/>
          <w:lang w:val="en-US" w:eastAsia="zh-CN" w:bidi="ar-SA"/>
        </w:rPr>
        <w:t>三、采购标的需满足的服务标准</w:t>
      </w:r>
      <w:r>
        <w:rPr>
          <w:rFonts w:hint="eastAsia" w:ascii="仿宋" w:hAnsi="仿宋" w:eastAsia="仿宋" w:cs="仿宋"/>
          <w:bCs/>
          <w:color w:val="auto"/>
          <w:kern w:val="2"/>
          <w:sz w:val="28"/>
          <w:szCs w:val="28"/>
          <w:lang w:val="en-US" w:eastAsia="zh-CN" w:bidi="ar-SA"/>
        </w:rPr>
        <w:t xml:space="preserve"> </w:t>
      </w:r>
      <w:r>
        <w:rPr>
          <w:rFonts w:hint="eastAsia" w:ascii="宋体" w:hAnsi="宋体" w:eastAsia="宋体" w:cs="Times New Roman"/>
          <w:iCs/>
          <w:sz w:val="24"/>
          <w:szCs w:val="24"/>
        </w:rPr>
        <w:t xml:space="preserve"> </w:t>
      </w:r>
    </w:p>
    <w:p w14:paraId="7C61600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1.食堂餐饮服务</w:t>
      </w:r>
    </w:p>
    <w:p w14:paraId="0EA186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1.1服务需求</w:t>
      </w:r>
    </w:p>
    <w:p w14:paraId="1573EC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由采购人提供所有的设施设备、食品原材料、各种耗材及日常水、电、气，服务供应商派遣具有相应从业资质的人员，负责相应服务地点的人员的餐饮服务。</w:t>
      </w:r>
    </w:p>
    <w:p w14:paraId="2F6279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1.2服务内容为</w:t>
      </w:r>
    </w:p>
    <w:p w14:paraId="6EA359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（1）主、副食的烹饪、制作、供应等服务和食堂安全、卫生等完整的管理服务。</w:t>
      </w:r>
    </w:p>
    <w:p w14:paraId="174C08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（2）根据采购人制定的用餐标准提供服务。</w:t>
      </w:r>
    </w:p>
    <w:p w14:paraId="6EACCD3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（3）食谱应根据季节变化、本地区饮食习惯、食品原料价格情况及营养搭配合理的原则进行制订。</w:t>
      </w:r>
    </w:p>
    <w:p w14:paraId="62FBD0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（4）厨师应时刻关注就餐者对菜肴品种、制作质量及搭配要求等意见和建议，配合采购人不断改进、调整食谱。</w:t>
      </w:r>
    </w:p>
    <w:p w14:paraId="206C04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（5）食堂日常必备的炊事设备由采购人提供，成交供应商做好日常维护，对易损坏物品及时上报采购人。</w:t>
      </w:r>
    </w:p>
    <w:p w14:paraId="05B8D0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1.3工作要求</w:t>
      </w:r>
    </w:p>
    <w:p w14:paraId="00856C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项目负责人兼厨师长：实行厨师长负责制，24小时负责项目全面工作，包括但不限于负责每周菜单编排，项目组成员工作安排及培训，工作台账，与采购人的工作对接，接待安排，日常管理等。</w:t>
      </w:r>
    </w:p>
    <w:p w14:paraId="0FB9C0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厨师：负责厨房工作及饭菜的烹饪，惠警外卖菜品制作；</w:t>
      </w:r>
    </w:p>
    <w:p w14:paraId="1603FD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（3）点心师：负责每日早餐面食及各类点心制作，日常点心应急储备及日常惠警外卖点心制作。</w:t>
      </w:r>
    </w:p>
    <w:p w14:paraId="3FB80C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（4）餐饮服务人员：负责食材清洗、准备，保持厨房环境、设备清洁，餐具清洗及消毒，饭菜的准备、分装及售卖，二楼工作性接待的服务等日常事务。</w:t>
      </w:r>
    </w:p>
    <w:p w14:paraId="24EB47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1.4人员条件</w:t>
      </w:r>
    </w:p>
    <w:p w14:paraId="72A0A7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（1）主副厨师：身体健康，</w:t>
      </w:r>
      <w:r>
        <w:rPr>
          <w:rFonts w:hint="eastAsia" w:ascii="仿宋" w:hAnsi="仿宋" w:eastAsia="仿宋" w:cs="仿宋"/>
          <w:b/>
          <w:bCs w:val="0"/>
          <w:i/>
          <w:iCs/>
          <w:color w:val="auto"/>
          <w:sz w:val="24"/>
          <w:szCs w:val="24"/>
          <w:u w:val="single"/>
          <w:lang w:val="en-US" w:eastAsia="zh-CN"/>
        </w:rPr>
        <w:t>持有厨师等级证（五级及以上）、健康证</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4"/>
          <w:szCs w:val="24"/>
          <w:lang w:val="en-US" w:eastAsia="zh-CN"/>
        </w:rPr>
        <w:t>男性，有相应的工作经验。</w:t>
      </w:r>
    </w:p>
    <w:p w14:paraId="49DD2C48">
      <w:pPr>
        <w:widowControl w:val="0"/>
        <w:wordWrap/>
        <w:spacing w:line="500" w:lineRule="exact"/>
        <w:ind w:firstLine="480" w:firstLineChars="20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4"/>
          <w:szCs w:val="24"/>
          <w:lang w:val="en-US" w:eastAsia="zh-CN"/>
        </w:rPr>
        <w:t>（2）点心师：身体健康，</w:t>
      </w:r>
      <w:r>
        <w:rPr>
          <w:rFonts w:hint="eastAsia" w:ascii="仿宋" w:hAnsi="仿宋" w:eastAsia="仿宋" w:cs="仿宋"/>
          <w:b/>
          <w:bCs w:val="0"/>
          <w:i/>
          <w:iCs/>
          <w:color w:val="auto"/>
          <w:sz w:val="24"/>
          <w:szCs w:val="24"/>
          <w:u w:val="single"/>
          <w:lang w:val="en-US" w:eastAsia="zh-CN"/>
        </w:rPr>
        <w:t>持有初级以上面点师证、健康证</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4"/>
          <w:szCs w:val="24"/>
          <w:lang w:val="en-US" w:eastAsia="zh-CN"/>
        </w:rPr>
        <w:t>男女不限</w:t>
      </w:r>
    </w:p>
    <w:p w14:paraId="01DC5F63">
      <w:pPr>
        <w:widowControl w:val="0"/>
        <w:wordWrap/>
        <w:spacing w:line="500" w:lineRule="exact"/>
        <w:ind w:firstLine="480" w:firstLineChars="20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4"/>
          <w:szCs w:val="24"/>
          <w:lang w:val="en-US" w:eastAsia="zh-CN"/>
        </w:rPr>
        <w:t>（3）餐饮服务人员：身体健康，</w:t>
      </w:r>
      <w:r>
        <w:rPr>
          <w:rFonts w:hint="eastAsia" w:ascii="仿宋" w:hAnsi="仿宋" w:eastAsia="仿宋" w:cs="仿宋"/>
          <w:b/>
          <w:bCs w:val="0"/>
          <w:i/>
          <w:iCs/>
          <w:color w:val="auto"/>
          <w:sz w:val="24"/>
          <w:szCs w:val="24"/>
          <w:u w:val="single"/>
          <w:lang w:val="en-US" w:eastAsia="zh-CN"/>
        </w:rPr>
        <w:t>持有健康证</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4"/>
          <w:szCs w:val="24"/>
          <w:lang w:val="en-US" w:eastAsia="zh-CN"/>
        </w:rPr>
        <w:t>男女不限。</w:t>
      </w:r>
    </w:p>
    <w:p w14:paraId="6753D6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2.环境卫生保洁</w:t>
      </w:r>
    </w:p>
    <w:p w14:paraId="10AA15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2.1服务范围：</w:t>
      </w:r>
    </w:p>
    <w:p w14:paraId="78A1B5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（1）内场：食堂的</w:t>
      </w:r>
      <w:bookmarkStart w:id="201" w:name="_Hlk106754487"/>
      <w:r>
        <w:rPr>
          <w:rFonts w:hint="eastAsia" w:ascii="仿宋" w:hAnsi="仿宋" w:eastAsia="仿宋" w:cs="仿宋"/>
          <w:bCs/>
          <w:color w:val="auto"/>
          <w:sz w:val="24"/>
          <w:szCs w:val="24"/>
          <w:lang w:val="en-US" w:eastAsia="zh-CN"/>
        </w:rPr>
        <w:t>地面、楼道、走廊、栏杆、门窗、卫生间的每日清洁、除尘</w:t>
      </w:r>
      <w:bookmarkEnd w:id="201"/>
      <w:r>
        <w:rPr>
          <w:rFonts w:hint="eastAsia" w:ascii="仿宋" w:hAnsi="仿宋" w:eastAsia="仿宋" w:cs="仿宋"/>
          <w:bCs/>
          <w:color w:val="auto"/>
          <w:sz w:val="24"/>
          <w:szCs w:val="24"/>
          <w:lang w:val="en-US" w:eastAsia="zh-CN"/>
        </w:rPr>
        <w:t>，</w:t>
      </w:r>
      <w:bookmarkStart w:id="202" w:name="_Hlk106754525"/>
      <w:r>
        <w:rPr>
          <w:rFonts w:hint="eastAsia" w:ascii="仿宋" w:hAnsi="仿宋" w:eastAsia="仿宋" w:cs="仿宋"/>
          <w:bCs/>
          <w:color w:val="auto"/>
          <w:sz w:val="24"/>
          <w:szCs w:val="24"/>
          <w:lang w:val="en-US" w:eastAsia="zh-CN"/>
        </w:rPr>
        <w:t>保持</w:t>
      </w:r>
      <w:bookmarkStart w:id="203" w:name="_Hlk106754398"/>
      <w:r>
        <w:rPr>
          <w:rFonts w:hint="eastAsia" w:ascii="仿宋" w:hAnsi="仿宋" w:eastAsia="仿宋" w:cs="仿宋"/>
          <w:bCs/>
          <w:color w:val="auto"/>
          <w:sz w:val="24"/>
          <w:szCs w:val="24"/>
          <w:lang w:val="en-US" w:eastAsia="zh-CN"/>
        </w:rPr>
        <w:t>区域的</w:t>
      </w:r>
      <w:bookmarkEnd w:id="203"/>
      <w:r>
        <w:rPr>
          <w:rFonts w:hint="eastAsia" w:ascii="仿宋" w:hAnsi="仿宋" w:eastAsia="仿宋" w:cs="仿宋"/>
          <w:bCs/>
          <w:color w:val="auto"/>
          <w:sz w:val="24"/>
          <w:szCs w:val="24"/>
          <w:lang w:val="en-US" w:eastAsia="zh-CN"/>
        </w:rPr>
        <w:t>整洁干净环境。</w:t>
      </w:r>
      <w:bookmarkEnd w:id="202"/>
    </w:p>
    <w:p w14:paraId="6714B3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（2）外场：食堂公共区域的地面、楼道、走廊、栏杆、门窗、卫生间的每日清洁、除尘，保持区域的整洁干净环境。</w:t>
      </w:r>
    </w:p>
    <w:p w14:paraId="5F1EDC8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2.2服务要求：</w:t>
      </w:r>
    </w:p>
    <w:p w14:paraId="65A96C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地面随时保持干净、光亮，没有烟蒂、纸屑等杂物，没有积水、污渍和尘土；墙面四周及阴角做到无水迹、无蜘蛛网；镜子及金属部分应保持干净，无浮尘、手印、水迹、锈斑；绿植花盆里无烟头等杂物；保证建筑物楼宇周边区域的环境卫生；</w:t>
      </w:r>
    </w:p>
    <w:p w14:paraId="5E3CDB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（2）卫生间整洁无异味无杂物，便池、水池下水道要通畅，及时清理墙面积灰、蜘蛛网，保持地面、蹲位边无积水、纸屑、烟头及其他杂物；</w:t>
      </w:r>
    </w:p>
    <w:p w14:paraId="790DC5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（3）不得乱倒清扫垃圾，乱堆乱放情况必须及时清理；</w:t>
      </w:r>
    </w:p>
    <w:p w14:paraId="7525A5B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（4）根据季节进行卫生消杀（适用夏季，须3天一次），无明显蚊蝇滋生、鼠迹；</w:t>
      </w:r>
    </w:p>
    <w:p w14:paraId="3A19B7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（5）清扫工具必须摆放至工具间或指定位置；</w:t>
      </w:r>
    </w:p>
    <w:p w14:paraId="163062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（6）工作期间接受采购人领导和监督，遵守采购人的管理制度，并完成采购人领导交办的一些临时性工作。</w:t>
      </w:r>
    </w:p>
    <w:p w14:paraId="23BAFC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2.3人员要求：</w:t>
      </w:r>
    </w:p>
    <w:p w14:paraId="2C276F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（1）所有人员经过相关培训；</w:t>
      </w:r>
    </w:p>
    <w:p w14:paraId="5B9FA1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（2）自觉遵守国家法律法规，遵循“业主至上，服务第一”的服务宗旨，体健端正，用工年龄符合国家法律法规的要求。</w:t>
      </w:r>
    </w:p>
    <w:p w14:paraId="2AB50B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2.4保洁耗材及其它说明</w:t>
      </w:r>
    </w:p>
    <w:p w14:paraId="49A170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（1）保洁必备的工具，配套的垃圾袋、卫生间纸篓、各种垃圾桶等耗材由采购人配备，按要求摆放到位；</w:t>
      </w:r>
    </w:p>
    <w:p w14:paraId="0A1714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（2）室内外保洁所需之设备、工具和各种清洁剂均由采购人提供。</w:t>
      </w:r>
    </w:p>
    <w:p w14:paraId="050DE1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（3）各楼层洗手间普通手纸、擦手纸、洗手液由采购人提供。</w:t>
      </w:r>
    </w:p>
    <w:p w14:paraId="39677D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（4）服务供应商负责垃圾的分类和及时收集。垃圾清运事项由采购人另与属地相关部门签订有偿服务协议并支付费用。</w:t>
      </w:r>
    </w:p>
    <w:p w14:paraId="0C3E72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3.服务需求岗位人员要求：</w:t>
      </w:r>
    </w:p>
    <w:p w14:paraId="7A1C5D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3.1服务需求岗位人员要求一览表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3"/>
        <w:gridCol w:w="1834"/>
        <w:gridCol w:w="1834"/>
        <w:gridCol w:w="1834"/>
        <w:gridCol w:w="1834"/>
      </w:tblGrid>
      <w:tr w14:paraId="5D78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33" w:type="dxa"/>
            <w:vAlign w:val="center"/>
          </w:tcPr>
          <w:p w14:paraId="7A6C1DC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序号</w:t>
            </w:r>
          </w:p>
        </w:tc>
        <w:tc>
          <w:tcPr>
            <w:tcW w:w="1834" w:type="dxa"/>
            <w:vAlign w:val="center"/>
          </w:tcPr>
          <w:p w14:paraId="18CA4D3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岗  位</w:t>
            </w:r>
          </w:p>
        </w:tc>
        <w:tc>
          <w:tcPr>
            <w:tcW w:w="1834" w:type="dxa"/>
            <w:vAlign w:val="center"/>
          </w:tcPr>
          <w:p w14:paraId="292A384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岗位人数</w:t>
            </w:r>
          </w:p>
        </w:tc>
        <w:tc>
          <w:tcPr>
            <w:tcW w:w="1834" w:type="dxa"/>
            <w:vAlign w:val="center"/>
          </w:tcPr>
          <w:p w14:paraId="2C5EDD7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专业等级</w:t>
            </w:r>
          </w:p>
        </w:tc>
        <w:tc>
          <w:tcPr>
            <w:tcW w:w="1834" w:type="dxa"/>
            <w:vAlign w:val="center"/>
          </w:tcPr>
          <w:p w14:paraId="40E8D57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备注</w:t>
            </w:r>
          </w:p>
        </w:tc>
      </w:tr>
      <w:tr w14:paraId="277E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0F83C87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1</w:t>
            </w:r>
          </w:p>
        </w:tc>
        <w:tc>
          <w:tcPr>
            <w:tcW w:w="1834" w:type="dxa"/>
            <w:vAlign w:val="center"/>
          </w:tcPr>
          <w:p w14:paraId="241C42F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项目负责人兼厨师长</w:t>
            </w:r>
          </w:p>
        </w:tc>
        <w:tc>
          <w:tcPr>
            <w:tcW w:w="1834" w:type="dxa"/>
            <w:vAlign w:val="center"/>
          </w:tcPr>
          <w:p w14:paraId="1E94E4F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1人</w:t>
            </w:r>
          </w:p>
        </w:tc>
        <w:tc>
          <w:tcPr>
            <w:tcW w:w="1834" w:type="dxa"/>
            <w:vAlign w:val="center"/>
          </w:tcPr>
          <w:p w14:paraId="6A808EA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五级及以上</w:t>
            </w:r>
          </w:p>
        </w:tc>
        <w:tc>
          <w:tcPr>
            <w:tcW w:w="1834" w:type="dxa"/>
            <w:vAlign w:val="center"/>
          </w:tcPr>
          <w:p w14:paraId="705B544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60周岁以下，男性</w:t>
            </w:r>
          </w:p>
        </w:tc>
      </w:tr>
      <w:tr w14:paraId="0907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3A1E9C7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2</w:t>
            </w:r>
          </w:p>
        </w:tc>
        <w:tc>
          <w:tcPr>
            <w:tcW w:w="1834" w:type="dxa"/>
            <w:vAlign w:val="center"/>
          </w:tcPr>
          <w:p w14:paraId="3CE7CB9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both"/>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厨师</w:t>
            </w:r>
          </w:p>
        </w:tc>
        <w:tc>
          <w:tcPr>
            <w:tcW w:w="1834" w:type="dxa"/>
            <w:vAlign w:val="center"/>
          </w:tcPr>
          <w:p w14:paraId="069FC33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3人</w:t>
            </w:r>
          </w:p>
        </w:tc>
        <w:tc>
          <w:tcPr>
            <w:tcW w:w="1834" w:type="dxa"/>
            <w:vAlign w:val="center"/>
          </w:tcPr>
          <w:p w14:paraId="593A822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五级及以上</w:t>
            </w:r>
          </w:p>
        </w:tc>
        <w:tc>
          <w:tcPr>
            <w:tcW w:w="1834" w:type="dxa"/>
            <w:vAlign w:val="center"/>
          </w:tcPr>
          <w:p w14:paraId="70E3BCB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60周岁以下，男性</w:t>
            </w:r>
          </w:p>
        </w:tc>
      </w:tr>
      <w:tr w14:paraId="6BB8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238D33E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3</w:t>
            </w:r>
          </w:p>
        </w:tc>
        <w:tc>
          <w:tcPr>
            <w:tcW w:w="1834" w:type="dxa"/>
            <w:vAlign w:val="center"/>
          </w:tcPr>
          <w:p w14:paraId="4983119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面点师</w:t>
            </w:r>
          </w:p>
        </w:tc>
        <w:tc>
          <w:tcPr>
            <w:tcW w:w="1834" w:type="dxa"/>
            <w:vAlign w:val="center"/>
          </w:tcPr>
          <w:p w14:paraId="2F4DC4D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1人</w:t>
            </w:r>
          </w:p>
        </w:tc>
        <w:tc>
          <w:tcPr>
            <w:tcW w:w="1834" w:type="dxa"/>
            <w:vAlign w:val="center"/>
          </w:tcPr>
          <w:p w14:paraId="0083154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highlight w:val="none"/>
                <w:u w:val="single"/>
                <w:lang w:val="en-US" w:eastAsia="zh-CN"/>
              </w:rPr>
              <w:t>初级及以上面点师证</w:t>
            </w:r>
          </w:p>
        </w:tc>
        <w:tc>
          <w:tcPr>
            <w:tcW w:w="1834" w:type="dxa"/>
            <w:vAlign w:val="center"/>
          </w:tcPr>
          <w:p w14:paraId="6AE909C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w:t>
            </w:r>
          </w:p>
        </w:tc>
      </w:tr>
      <w:tr w14:paraId="5E6D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0C1F56A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4</w:t>
            </w:r>
          </w:p>
        </w:tc>
        <w:tc>
          <w:tcPr>
            <w:tcW w:w="1834" w:type="dxa"/>
            <w:vAlign w:val="center"/>
          </w:tcPr>
          <w:p w14:paraId="6AFFC14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服务员</w:t>
            </w:r>
          </w:p>
        </w:tc>
        <w:tc>
          <w:tcPr>
            <w:tcW w:w="1834" w:type="dxa"/>
            <w:vAlign w:val="center"/>
          </w:tcPr>
          <w:p w14:paraId="1675767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不少于13人</w:t>
            </w:r>
          </w:p>
        </w:tc>
        <w:tc>
          <w:tcPr>
            <w:tcW w:w="1834" w:type="dxa"/>
            <w:vAlign w:val="center"/>
          </w:tcPr>
          <w:p w14:paraId="08C18B1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p>
        </w:tc>
        <w:tc>
          <w:tcPr>
            <w:tcW w:w="1834" w:type="dxa"/>
            <w:vAlign w:val="center"/>
          </w:tcPr>
          <w:p w14:paraId="3515784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w:t>
            </w:r>
          </w:p>
        </w:tc>
      </w:tr>
      <w:tr w14:paraId="4A87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70310F8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合计人数</w:t>
            </w:r>
          </w:p>
        </w:tc>
        <w:tc>
          <w:tcPr>
            <w:tcW w:w="1834" w:type="dxa"/>
            <w:vAlign w:val="center"/>
          </w:tcPr>
          <w:p w14:paraId="399531E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center"/>
              <w:textAlignment w:val="auto"/>
              <w:rPr>
                <w:rFonts w:hint="eastAsia" w:ascii="仿宋" w:hAnsi="仿宋" w:eastAsia="仿宋" w:cs="仿宋"/>
                <w:sz w:val="24"/>
                <w:szCs w:val="24"/>
                <w:vertAlign w:val="baseline"/>
                <w:lang w:val="en-US" w:eastAsia="zh-CN"/>
              </w:rPr>
            </w:pPr>
          </w:p>
        </w:tc>
        <w:tc>
          <w:tcPr>
            <w:tcW w:w="1834" w:type="dxa"/>
            <w:vAlign w:val="center"/>
          </w:tcPr>
          <w:p w14:paraId="3ADD35F8">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18人</w:t>
            </w:r>
          </w:p>
        </w:tc>
        <w:tc>
          <w:tcPr>
            <w:tcW w:w="1834" w:type="dxa"/>
            <w:vAlign w:val="center"/>
          </w:tcPr>
          <w:p w14:paraId="6F65EF5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p>
        </w:tc>
        <w:tc>
          <w:tcPr>
            <w:tcW w:w="1834" w:type="dxa"/>
            <w:vAlign w:val="center"/>
          </w:tcPr>
          <w:p w14:paraId="3E54707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p>
        </w:tc>
      </w:tr>
    </w:tbl>
    <w:p w14:paraId="00CA4C76">
      <w:pPr>
        <w:bidi w:val="0"/>
        <w:rPr>
          <w:rFonts w:hint="eastAsia"/>
          <w:lang w:val="en-US" w:eastAsia="zh-CN"/>
        </w:rPr>
      </w:pPr>
    </w:p>
    <w:tbl>
      <w:tblPr>
        <w:tblStyle w:val="16"/>
        <w:tblW w:w="9228" w:type="dxa"/>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8392"/>
      </w:tblGrid>
      <w:tr w14:paraId="59FD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trPr>
        <w:tc>
          <w:tcPr>
            <w:tcW w:w="836" w:type="dxa"/>
            <w:tcBorders>
              <w:top w:val="single" w:color="auto" w:sz="4" w:space="0"/>
              <w:left w:val="single" w:color="auto" w:sz="4" w:space="0"/>
              <w:right w:val="single" w:color="auto" w:sz="4" w:space="0"/>
            </w:tcBorders>
            <w:noWrap/>
            <w:vAlign w:val="center"/>
          </w:tcPr>
          <w:p w14:paraId="3F159A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lang w:val="zh-CN" w:eastAsia="zh-CN"/>
              </w:rPr>
            </w:pPr>
            <w:r>
              <w:rPr>
                <w:rFonts w:hint="eastAsia" w:ascii="仿宋" w:hAnsi="仿宋" w:eastAsia="仿宋" w:cs="仿宋"/>
                <w:bCs/>
                <w:color w:val="auto"/>
                <w:sz w:val="24"/>
                <w:szCs w:val="24"/>
                <w:lang w:val="en-US" w:eastAsia="zh-CN"/>
              </w:rPr>
              <w:t>说明</w:t>
            </w:r>
          </w:p>
        </w:tc>
        <w:tc>
          <w:tcPr>
            <w:tcW w:w="8392" w:type="dxa"/>
            <w:tcBorders>
              <w:top w:val="single" w:color="auto" w:sz="4" w:space="0"/>
              <w:left w:val="single" w:color="auto" w:sz="4" w:space="0"/>
              <w:bottom w:val="single" w:color="auto" w:sz="4" w:space="0"/>
              <w:right w:val="single" w:color="auto" w:sz="4" w:space="0"/>
            </w:tcBorders>
            <w:noWrap/>
            <w:vAlign w:val="center"/>
          </w:tcPr>
          <w:p w14:paraId="3AF663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auto"/>
                <w:sz w:val="24"/>
                <w:szCs w:val="24"/>
                <w:u w:val="single"/>
                <w:lang w:val="en-US" w:eastAsia="zh-CN"/>
              </w:rPr>
            </w:pPr>
            <w:r>
              <w:rPr>
                <w:rFonts w:hint="eastAsia" w:ascii="仿宋" w:hAnsi="仿宋" w:eastAsia="仿宋" w:cs="仿宋"/>
                <w:bCs/>
                <w:color w:val="auto"/>
                <w:sz w:val="24"/>
                <w:szCs w:val="24"/>
                <w:lang w:val="en-US" w:eastAsia="zh-CN"/>
              </w:rPr>
              <w:t>（1）</w:t>
            </w:r>
            <w:r>
              <w:rPr>
                <w:rFonts w:hint="eastAsia" w:ascii="仿宋" w:hAnsi="仿宋" w:eastAsia="仿宋" w:cs="仿宋"/>
                <w:b/>
                <w:bCs w:val="0"/>
                <w:i/>
                <w:iCs/>
                <w:color w:val="auto"/>
                <w:sz w:val="24"/>
                <w:szCs w:val="24"/>
                <w:u w:val="single"/>
                <w:lang w:val="en-US" w:eastAsia="zh-CN"/>
              </w:rPr>
              <w:t>各岗位人员均有相关工作经验，厨师具有相应从业资质证书，所有人员具有健康证；</w:t>
            </w:r>
          </w:p>
          <w:p w14:paraId="4FBBD5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auto"/>
                <w:sz w:val="24"/>
                <w:szCs w:val="24"/>
                <w:u w:val="single"/>
                <w:lang w:val="en-US" w:eastAsia="zh-CN"/>
              </w:rPr>
            </w:pPr>
            <w:r>
              <w:rPr>
                <w:rFonts w:hint="eastAsia" w:ascii="仿宋" w:hAnsi="仿宋" w:eastAsia="仿宋" w:cs="仿宋"/>
                <w:b/>
                <w:bCs w:val="0"/>
                <w:color w:val="auto"/>
                <w:sz w:val="24"/>
                <w:szCs w:val="24"/>
                <w:lang w:val="en-US" w:eastAsia="zh-CN"/>
              </w:rPr>
              <w:t>（2）</w:t>
            </w:r>
            <w:r>
              <w:rPr>
                <w:rFonts w:hint="eastAsia" w:ascii="仿宋" w:hAnsi="仿宋" w:eastAsia="仿宋" w:cs="仿宋"/>
                <w:b/>
                <w:bCs w:val="0"/>
                <w:i/>
                <w:iCs/>
                <w:color w:val="auto"/>
                <w:sz w:val="24"/>
                <w:szCs w:val="24"/>
                <w:u w:val="single"/>
                <w:lang w:val="en-US" w:eastAsia="zh-CN"/>
              </w:rPr>
              <w:t>所有人员身体健康，无传染疾病，入职前提供体检证明；</w:t>
            </w:r>
          </w:p>
          <w:p w14:paraId="77F2B1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auto"/>
                <w:sz w:val="24"/>
                <w:szCs w:val="24"/>
                <w:u w:val="single"/>
                <w:lang w:val="en-US" w:eastAsia="zh-CN"/>
              </w:rPr>
            </w:pPr>
            <w:r>
              <w:rPr>
                <w:rFonts w:hint="eastAsia" w:ascii="仿宋" w:hAnsi="仿宋" w:eastAsia="仿宋" w:cs="仿宋"/>
                <w:b/>
                <w:bCs w:val="0"/>
                <w:i/>
                <w:iCs/>
                <w:color w:val="auto"/>
                <w:sz w:val="24"/>
                <w:szCs w:val="24"/>
                <w:u w:val="none"/>
                <w:lang w:val="en-US" w:eastAsia="zh-CN"/>
              </w:rPr>
              <w:t>（3）</w:t>
            </w:r>
            <w:r>
              <w:rPr>
                <w:rFonts w:hint="eastAsia" w:ascii="仿宋" w:hAnsi="仿宋" w:eastAsia="仿宋" w:cs="仿宋"/>
                <w:b/>
                <w:bCs w:val="0"/>
                <w:i/>
                <w:iCs/>
                <w:color w:val="auto"/>
                <w:sz w:val="24"/>
                <w:szCs w:val="24"/>
                <w:u w:val="single"/>
                <w:lang w:val="en-US" w:eastAsia="zh-CN"/>
              </w:rPr>
              <w:t>所有人员入职前提供无违法犯罪记录证明；</w:t>
            </w:r>
          </w:p>
          <w:p w14:paraId="618619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FF0000"/>
                <w:sz w:val="24"/>
                <w:szCs w:val="24"/>
                <w:u w:val="single"/>
                <w:lang w:val="en-US" w:eastAsia="zh-CN"/>
              </w:rPr>
            </w:pPr>
            <w:r>
              <w:rPr>
                <w:rFonts w:hint="eastAsia" w:ascii="仿宋" w:hAnsi="仿宋" w:eastAsia="仿宋" w:cs="仿宋"/>
                <w:b/>
                <w:bCs w:val="0"/>
                <w:i/>
                <w:iCs/>
                <w:color w:val="FF0000"/>
                <w:sz w:val="24"/>
                <w:szCs w:val="24"/>
                <w:u w:val="single"/>
                <w:lang w:val="en-US" w:eastAsia="zh-CN"/>
              </w:rPr>
              <w:t>投标时提供所有人员相关资格证书。</w:t>
            </w:r>
          </w:p>
          <w:p w14:paraId="21B8FB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FF0000"/>
                <w:sz w:val="24"/>
                <w:szCs w:val="24"/>
                <w:u w:val="single"/>
                <w:lang w:val="en-US" w:eastAsia="zh-CN"/>
              </w:rPr>
            </w:pPr>
            <w:r>
              <w:rPr>
                <w:rFonts w:hint="eastAsia" w:ascii="仿宋" w:hAnsi="仿宋" w:eastAsia="仿宋" w:cs="仿宋"/>
                <w:b/>
                <w:bCs w:val="0"/>
                <w:i/>
                <w:iCs/>
                <w:color w:val="FF0000"/>
                <w:sz w:val="24"/>
                <w:szCs w:val="24"/>
                <w:u w:val="single"/>
                <w:lang w:val="en-US" w:eastAsia="zh-CN"/>
              </w:rPr>
              <w:t>合同签订前提供所有人员健康证复印件，体检证明，无违法犯罪记录证明，由采购人审查通过后与成交供应商签订劳动合同。</w:t>
            </w:r>
          </w:p>
          <w:p w14:paraId="422F50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lang w:val="en-US" w:eastAsia="zh-CN"/>
              </w:rPr>
            </w:pPr>
            <w:r>
              <w:rPr>
                <w:rFonts w:hint="eastAsia" w:ascii="仿宋" w:hAnsi="仿宋" w:eastAsia="仿宋" w:cs="仿宋"/>
                <w:b/>
                <w:bCs w:val="0"/>
                <w:i/>
                <w:iCs/>
                <w:color w:val="auto"/>
                <w:sz w:val="24"/>
                <w:szCs w:val="24"/>
                <w:u w:val="single"/>
                <w:lang w:val="en-US" w:eastAsia="zh-CN"/>
              </w:rPr>
              <w:t>以上持证人员均为服务于该项目人员，若成交后派驻的人员与投标时提供的人员有不一致的，须经采购人同意后方可更换同等资格证书的人员。</w:t>
            </w:r>
          </w:p>
        </w:tc>
      </w:tr>
    </w:tbl>
    <w:p w14:paraId="247A28E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3.2人员及场地说明</w:t>
      </w:r>
    </w:p>
    <w:p w14:paraId="74CDDA3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（1）成交供应商根据采购人需求合理配备各类服务人员，所有派驻人员资质不得低于投标时承诺及采购文件要求，所有人员应身体健康、无传染性疾病、无违法犯罪记录。</w:t>
      </w:r>
    </w:p>
    <w:p w14:paraId="7A99017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成交供应商派驻所有相关人员的从业资质需获得相关主管部门认证的，均需配证并持证上岗，统一着装。成交供应商必须与所有派驻工作人员签订正式劳动合同并缴纳社保，工资和社会保险等不低于如东县政府规定的最低标准，若勤杂工为退休人员，成交供应商须为其缴纳意外保险。</w:t>
      </w:r>
    </w:p>
    <w:p w14:paraId="711D0FC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所有岗位人员必须专职为采购人的本项目服务，不得兼职；所有岗位人员必须服从采购人管理。驻场人员工作日须全员正常上班，节假日期间在保证食堂就餐人员服务质量不下降的前提下各岗位内人员可轮休。</w:t>
      </w:r>
    </w:p>
    <w:p w14:paraId="2F0E29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 （4）合同履行过程中，若驻场人员发生变更须提前通知采购人，更替人员资质等全方面素质要求不得低于被更替人员，更替人员入场前须征得采购人一致认可，且须提供本项目要求的相关证件至采购人处备案。</w:t>
      </w:r>
    </w:p>
    <w:p w14:paraId="10C4CE7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（5）驻点负责人须与投标时提供的人员一致，未经采购人同意，私自变更驻点负责人的每次罚款20000元，从服务费中扣除。</w:t>
      </w:r>
    </w:p>
    <w:p w14:paraId="47846368">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（6）在采购人举行重要活动时，成交供应商须根据采购人工作需要增加管理与服务力量保证就餐服务质量，原则上成交供应商不得另行收取费用，特殊情况下双方另行商定。</w:t>
      </w:r>
    </w:p>
    <w:p w14:paraId="0910B95E">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四、采购标的的数量、采购项目交付或者实施的时间和地点（货物类项目采购清单中必须列明主要标的、强制节能产品）</w:t>
      </w:r>
    </w:p>
    <w:p w14:paraId="637FB3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1、合同履行期限</w:t>
      </w:r>
    </w:p>
    <w:p w14:paraId="1150E40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color w:val="auto"/>
          <w:lang w:eastAsia="zh-CN"/>
        </w:rPr>
      </w:pPr>
      <w:r>
        <w:rPr>
          <w:rFonts w:hint="eastAsia" w:ascii="仿宋" w:hAnsi="仿宋" w:eastAsia="仿宋" w:cs="仿宋"/>
          <w:color w:val="auto"/>
          <w:kern w:val="0"/>
          <w:sz w:val="24"/>
          <w:szCs w:val="24"/>
        </w:rPr>
        <w:t>自合同签订正式派驻入场服务起三年，本次采购预算为一年费用，合同一年一签。在下一年度采购资金下达且中标供应商在合同期内服务质量好，达到考核要求，在价格等所有条款不发生变化的情况下，经</w:t>
      </w:r>
      <w:r>
        <w:rPr>
          <w:rFonts w:hint="eastAsia" w:ascii="仿宋" w:hAnsi="仿宋" w:eastAsia="仿宋" w:cs="仿宋"/>
          <w:color w:val="auto"/>
          <w:kern w:val="0"/>
          <w:sz w:val="24"/>
          <w:szCs w:val="24"/>
          <w:lang w:val="en-US" w:eastAsia="zh-CN"/>
        </w:rPr>
        <w:t>双方协商</w:t>
      </w:r>
      <w:r>
        <w:rPr>
          <w:rFonts w:hint="eastAsia" w:ascii="仿宋" w:hAnsi="仿宋" w:eastAsia="仿宋" w:cs="仿宋"/>
          <w:color w:val="auto"/>
          <w:kern w:val="0"/>
          <w:sz w:val="24"/>
          <w:szCs w:val="24"/>
        </w:rPr>
        <w:t>，可以续签合同，续签合同一年一签，最多续签两次。</w:t>
      </w:r>
    </w:p>
    <w:p w14:paraId="4591CAAF">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五、采购标的需满足的服务标准、期限、效率等要求</w:t>
      </w:r>
    </w:p>
    <w:p w14:paraId="7A6F1705">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1、服务标准</w:t>
      </w:r>
    </w:p>
    <w:p w14:paraId="732A889D">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2"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
          <w:bCs w:val="0"/>
          <w:i/>
          <w:iCs/>
          <w:color w:val="auto"/>
          <w:kern w:val="2"/>
          <w:sz w:val="24"/>
          <w:szCs w:val="24"/>
          <w:u w:val="single"/>
          <w:lang w:val="en-US" w:eastAsia="zh-CN" w:bidi="ar-SA"/>
        </w:rPr>
        <w:t>1.1成交供应商派驻的服务人员在本项目合同期间所发生的包括但不限于工资、加班费、体检费、税金、保险、福利费、工伤、医疗、意外伤（亡）害、服装等费用均由成交供应商承担（注：投标时须提供该综合服务承诺，格式自拟）。</w:t>
      </w:r>
    </w:p>
    <w:p w14:paraId="350EB2E1">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
          <w:bCs w:val="0"/>
          <w:i/>
          <w:iCs/>
          <w:color w:val="auto"/>
          <w:kern w:val="2"/>
          <w:sz w:val="24"/>
          <w:szCs w:val="24"/>
          <w:u w:val="single"/>
          <w:lang w:val="en-US" w:eastAsia="zh-CN" w:bidi="ar-SA"/>
        </w:rPr>
      </w:pPr>
      <w:r>
        <w:rPr>
          <w:rFonts w:hint="eastAsia" w:ascii="仿宋" w:hAnsi="仿宋" w:eastAsia="仿宋" w:cs="仿宋"/>
          <w:bCs/>
          <w:color w:val="auto"/>
          <w:kern w:val="2"/>
          <w:sz w:val="24"/>
          <w:szCs w:val="24"/>
          <w:lang w:val="en-US" w:eastAsia="zh-CN" w:bidi="ar-SA"/>
        </w:rPr>
        <w:t>1.2</w:t>
      </w:r>
      <w:r>
        <w:rPr>
          <w:rFonts w:hint="eastAsia" w:ascii="仿宋" w:hAnsi="仿宋" w:eastAsia="仿宋" w:cs="仿宋"/>
          <w:b/>
          <w:bCs w:val="0"/>
          <w:i/>
          <w:iCs/>
          <w:color w:val="auto"/>
          <w:kern w:val="2"/>
          <w:sz w:val="24"/>
          <w:szCs w:val="24"/>
          <w:u w:val="single"/>
          <w:lang w:val="en-US" w:eastAsia="zh-CN" w:bidi="ar-SA"/>
        </w:rPr>
        <w:t>成交供应商应当为本项目各类服务人员购买用工意外伤害保险，若在服务合同履约期限内，出现任何问题均与采购人无关，采购人不承担任何法律和经济上的责任（注：投标时须提供该综合服务承诺，格式自拟）。</w:t>
      </w:r>
    </w:p>
    <w:p w14:paraId="3B6E64F7">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1.3成交供应商在合同履约期间，若所提供的服务不能令采购人满意，如：减少双方约定的服务范围，派驻的服务人员素质水平低、工作态度恶劣等，则采购人有权要求成交供应商在指定时间内更换相适应岗位的人员。</w:t>
      </w:r>
    </w:p>
    <w:p w14:paraId="16832798">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六、采购标的的验收标准</w:t>
      </w:r>
    </w:p>
    <w:p w14:paraId="2D778648">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在服务期结束前1个月，采购人组织相关专业人员对年度服务情况进行评价，主要对照服务需求评价服务工作完成情况，查看服务台账、服务记录、服务态度等。采购人根据评价意见，支付项目合同价款，若成交供应商未</w:t>
      </w:r>
      <w:bookmarkStart w:id="204" w:name="_Hlk107918753"/>
      <w:r>
        <w:rPr>
          <w:rFonts w:hint="eastAsia" w:ascii="仿宋" w:hAnsi="仿宋" w:eastAsia="仿宋" w:cs="仿宋"/>
          <w:bCs/>
          <w:color w:val="auto"/>
          <w:kern w:val="2"/>
          <w:sz w:val="24"/>
          <w:szCs w:val="24"/>
          <w:lang w:val="en-US" w:eastAsia="zh-CN" w:bidi="ar-SA"/>
        </w:rPr>
        <w:t>达服务要求</w:t>
      </w:r>
      <w:bookmarkEnd w:id="204"/>
      <w:r>
        <w:rPr>
          <w:rFonts w:hint="eastAsia" w:ascii="仿宋" w:hAnsi="仿宋" w:eastAsia="仿宋" w:cs="仿宋"/>
          <w:bCs/>
          <w:color w:val="auto"/>
          <w:kern w:val="2"/>
          <w:sz w:val="24"/>
          <w:szCs w:val="24"/>
          <w:lang w:val="en-US" w:eastAsia="zh-CN" w:bidi="ar-SA"/>
        </w:rPr>
        <w:t>，视作违约，出现该情形的，采购人有权扣除最高不超过合同价款10%的金额作为违约金。</w:t>
      </w:r>
    </w:p>
    <w:p w14:paraId="59F01039">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七、采购标的的其他技术、服务等要求</w:t>
      </w:r>
    </w:p>
    <w:p w14:paraId="6481BA18">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1、综合说明</w:t>
      </w:r>
    </w:p>
    <w:p w14:paraId="7B15616F">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1.1合同履约期间，如出现重大综合管理缺陷，采购人有权自缺陷出现之日起直至缺陷更正，进行处惩，如成交供应商对综合管理缺陷不予更正，采购人有权另请其他单位更正，所发生的费用可在当季度费用结算中按费用发生金额的2倍扣除。</w:t>
      </w:r>
    </w:p>
    <w:p w14:paraId="055ACA39">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1.2合同履约期间，采购人因政策性变化等原因要终止或变更合同的，可以终止或变更合同，但需提前半个月告知成交供应商。如果终止合同的，所发生的费用按照终止合同的月份结算。如果变更合同的，由双方协商解决。</w:t>
      </w:r>
    </w:p>
    <w:p w14:paraId="1CB1A527">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1.3成交供应商在履约期间，违反下列规定将被解除合同：</w:t>
      </w:r>
    </w:p>
    <w:p w14:paraId="1F0BCB72">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严禁将服务转包他人；</w:t>
      </w:r>
    </w:p>
    <w:p w14:paraId="20E228C1">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default"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1.4在项目实施过程中，成交供应商及其所有服务人员的交通、食宿、人身安全和财产安全等一切责任由成交供应商自负。</w:t>
      </w:r>
    </w:p>
    <w:p w14:paraId="4A41BE5E">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八、付款方式</w:t>
      </w:r>
    </w:p>
    <w:p w14:paraId="474BA84C">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1、按年度合同价款的总金额拆分到月，并以季度（3个月）为单位计算，分4个季度支付；</w:t>
      </w:r>
    </w:p>
    <w:p w14:paraId="58A61CFF">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2、成交供应商于每季度最后一个月30号前提供正式发票，通过银行帐号汇入成交供应商指定帐户。</w:t>
      </w:r>
    </w:p>
    <w:p w14:paraId="14929E57">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上述费用已包括但不限于工作人员的工资、福利、服装、通讯交通、所有依法应缴纳的社会保险、值班费、夜班费、加班费、餐宿费等，考核奖、合理利润、各种税费、政策性文件规定（包含政策性调整）、市场状况及合同包含的所有风险、责任等一切费用。采购人应在收到发票后10个工作日内将资金支付到成交供应商账户。</w:t>
      </w:r>
    </w:p>
    <w:p w14:paraId="328B689C">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九、履约保证金</w:t>
      </w:r>
    </w:p>
    <w:p w14:paraId="11F42A2A">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本项目成交后的履约保证金为项目成交价的</w:t>
      </w:r>
      <w:r>
        <w:rPr>
          <w:rFonts w:hint="eastAsia" w:ascii="仿宋" w:hAnsi="仿宋" w:eastAsia="仿宋" w:cs="仿宋"/>
          <w:bCs/>
          <w:color w:val="auto"/>
          <w:kern w:val="2"/>
          <w:sz w:val="24"/>
          <w:szCs w:val="24"/>
          <w:u w:val="single"/>
          <w:lang w:val="en-US" w:eastAsia="zh-CN" w:bidi="ar-SA"/>
        </w:rPr>
        <w:t>10%</w:t>
      </w:r>
      <w:r>
        <w:rPr>
          <w:rFonts w:hint="eastAsia" w:ascii="仿宋" w:hAnsi="仿宋" w:eastAsia="仿宋" w:cs="仿宋"/>
          <w:bCs/>
          <w:color w:val="auto"/>
          <w:kern w:val="2"/>
          <w:sz w:val="24"/>
          <w:szCs w:val="24"/>
          <w:lang w:val="en-US" w:eastAsia="zh-CN" w:bidi="ar-SA"/>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4926597">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十、安全责任</w:t>
      </w:r>
    </w:p>
    <w:p w14:paraId="0DE17A05">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0CFE85B4">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0"/>
        <w:rPr>
          <w:rFonts w:hint="eastAsia" w:ascii="仿宋" w:hAnsi="仿宋" w:eastAsia="仿宋" w:cs="仿宋"/>
          <w:b/>
          <w:bCs w:val="0"/>
          <w:sz w:val="44"/>
          <w:szCs w:val="28"/>
        </w:rPr>
      </w:pPr>
      <w:bookmarkStart w:id="205" w:name="_Toc120614281"/>
      <w:r>
        <w:rPr>
          <w:rFonts w:hint="eastAsia" w:ascii="仿宋" w:hAnsi="仿宋" w:eastAsia="仿宋" w:cs="仿宋"/>
          <w:bCs/>
          <w:color w:val="auto"/>
          <w:sz w:val="44"/>
          <w:szCs w:val="28"/>
        </w:rPr>
        <w:br w:type="page"/>
      </w:r>
      <w:bookmarkStart w:id="206" w:name="_Toc88"/>
      <w:bookmarkStart w:id="207" w:name="_Toc20957"/>
      <w:bookmarkStart w:id="208" w:name="_Toc19886"/>
      <w:r>
        <w:rPr>
          <w:rFonts w:hint="eastAsia" w:ascii="仿宋" w:hAnsi="仿宋" w:eastAsia="仿宋" w:cs="仿宋"/>
          <w:b/>
          <w:bCs w:val="0"/>
          <w:sz w:val="44"/>
          <w:szCs w:val="28"/>
        </w:rPr>
        <w:t>第五章  评审方法与评审标准</w:t>
      </w:r>
      <w:bookmarkEnd w:id="206"/>
      <w:bookmarkEnd w:id="207"/>
      <w:bookmarkEnd w:id="208"/>
    </w:p>
    <w:p w14:paraId="78FB6FBF">
      <w:pPr>
        <w:keepNext w:val="0"/>
        <w:keepLines w:val="0"/>
        <w:pageBreakBefore w:val="0"/>
        <w:widowControl w:val="0"/>
        <w:kinsoku/>
        <w:wordWrap/>
        <w:overflowPunct/>
        <w:topLinePunct w:val="0"/>
        <w:autoSpaceDE/>
        <w:autoSpaceDN/>
        <w:bidi w:val="0"/>
        <w:adjustRightInd w:val="0"/>
        <w:snapToGrid/>
        <w:spacing w:before="120" w:after="120" w:line="360" w:lineRule="exact"/>
        <w:jc w:val="left"/>
        <w:textAlignment w:val="baseline"/>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评审</w:t>
      </w:r>
      <w:r>
        <w:rPr>
          <w:rFonts w:hint="eastAsia" w:ascii="仿宋" w:hAnsi="仿宋" w:eastAsia="仿宋" w:cs="仿宋"/>
          <w:b/>
          <w:bCs/>
          <w:sz w:val="32"/>
          <w:szCs w:val="32"/>
          <w:lang w:val="en-US" w:eastAsia="zh-CN"/>
        </w:rPr>
        <w:t>方法</w:t>
      </w:r>
      <w:r>
        <w:rPr>
          <w:rFonts w:hint="eastAsia" w:ascii="仿宋" w:hAnsi="仿宋" w:eastAsia="仿宋" w:cs="仿宋"/>
          <w:b/>
          <w:bCs/>
          <w:sz w:val="32"/>
          <w:szCs w:val="32"/>
        </w:rPr>
        <w:t>：</w:t>
      </w:r>
    </w:p>
    <w:p w14:paraId="75C29477">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采用</w:t>
      </w:r>
      <w:r>
        <w:rPr>
          <w:rFonts w:hint="eastAsia" w:ascii="仿宋" w:hAnsi="仿宋" w:eastAsia="仿宋" w:cs="仿宋"/>
          <w:b w:val="0"/>
          <w:bCs w:val="0"/>
          <w:color w:val="auto"/>
          <w:sz w:val="24"/>
          <w:szCs w:val="24"/>
        </w:rPr>
        <w:t>综合评分法，经磋商确定最终采购需求和提交最后报价的供应商后，由磋商小组采用综合评分法对提交最后报价的供应商的响应文件和最后报价进行综合评分。</w:t>
      </w:r>
    </w:p>
    <w:p w14:paraId="5ECB28D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8D9A149">
      <w:pPr>
        <w:pStyle w:val="15"/>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bCs/>
          <w:kern w:val="2"/>
          <w:sz w:val="32"/>
          <w:szCs w:val="32"/>
          <w:lang w:val="en-US" w:eastAsia="zh-CN" w:bidi="ar-SA"/>
        </w:rPr>
        <w:t>二、政府采购政策功能落实</w:t>
      </w:r>
      <w:r>
        <w:rPr>
          <w:rFonts w:hint="eastAsia" w:ascii="仿宋" w:hAnsi="仿宋" w:eastAsia="仿宋" w:cs="仿宋"/>
          <w:b/>
          <w:bCs/>
          <w:color w:val="auto"/>
          <w:sz w:val="24"/>
          <w:szCs w:val="24"/>
          <w:lang w:eastAsia="zh-CN"/>
        </w:rPr>
        <w:t>。</w:t>
      </w:r>
    </w:p>
    <w:p w14:paraId="56CE7F5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1、小微型企业价格扣除</w:t>
      </w:r>
    </w:p>
    <w:p w14:paraId="1A475837">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（1）本项目对小型和微型企业提供的服务给予10%的扣除价格，用扣除后的价格参与评审。</w:t>
      </w:r>
    </w:p>
    <w:p w14:paraId="5744E3D1">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（2）供应商需按照《政府采购促进中小企业发展管理办法》（财库〔2020〕46 号）的规定提供相应的《中小企业声明函》。</w:t>
      </w:r>
    </w:p>
    <w:p w14:paraId="426CDC4F">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（3）企业标准请参照《关于印发中小企业划型标准规定的通知》（</w:t>
      </w:r>
      <w:bookmarkStart w:id="209" w:name="OLE_LINK1"/>
      <w:r>
        <w:rPr>
          <w:rFonts w:hint="eastAsia" w:ascii="仿宋" w:hAnsi="仿宋" w:eastAsia="仿宋" w:cs="仿宋"/>
          <w:b w:val="0"/>
          <w:bCs w:val="0"/>
          <w:color w:val="auto"/>
          <w:sz w:val="24"/>
          <w:szCs w:val="24"/>
          <w:lang w:val="en-US" w:eastAsia="zh-CN"/>
        </w:rPr>
        <w:t>工信部联企业〔2011〕300号）</w:t>
      </w:r>
      <w:bookmarkEnd w:id="209"/>
      <w:r>
        <w:rPr>
          <w:rFonts w:hint="eastAsia" w:ascii="仿宋" w:hAnsi="仿宋" w:eastAsia="仿宋" w:cs="仿宋"/>
          <w:b w:val="0"/>
          <w:bCs w:val="0"/>
          <w:color w:val="auto"/>
          <w:sz w:val="24"/>
          <w:szCs w:val="24"/>
          <w:lang w:val="en-US" w:eastAsia="zh-CN"/>
        </w:rPr>
        <w:t>文件规定自行填写。</w:t>
      </w:r>
    </w:p>
    <w:p w14:paraId="4B70A290">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2、残疾人福利单位价格扣除</w:t>
      </w:r>
    </w:p>
    <w:p w14:paraId="35A22489">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（1）本项目对残疾人福利性单位视同小型、微型企业，给予10%，的价格扣除，用扣除后的价格参与评审。</w:t>
      </w:r>
    </w:p>
    <w:p w14:paraId="16E1BF7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（2）残疾人福利单位需按照磋商文件的要求提供《残疾人福利性单位声明函》。</w:t>
      </w:r>
    </w:p>
    <w:p w14:paraId="7E83004A">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（3）残疾人福利单位标准请参照《关于促进残疾人就业政府采购政策的通知》（财库〔2017〕141号）。</w:t>
      </w:r>
    </w:p>
    <w:p w14:paraId="6077920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3、监狱和戒毒企业价格扣除</w:t>
      </w:r>
    </w:p>
    <w:p w14:paraId="4F3B3147">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（1）本项目对监狱和戒毒企业（简称监狱企业）视同小型、微型企业，给予10%的价格扣除，用扣除后的价格参与评审。</w:t>
      </w:r>
    </w:p>
    <w:p w14:paraId="3C23177C">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6E1983E1">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（3）监狱企业标准请参照《关于政府采购支持监狱企业发展有关问题的通知》（财库〔2014〕68号）。</w:t>
      </w:r>
    </w:p>
    <w:p w14:paraId="3755296E">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4、残疾人福利单位、监狱企业属于小型、微型企业的，不重复享受政策。</w:t>
      </w:r>
    </w:p>
    <w:p w14:paraId="0499D366">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2284F90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6、联合体各方均为小型、微型企业（残疾人福利单位、监狱企业）的，联合体享受10%价格扣除，用扣除后的价格参与评审。</w:t>
      </w:r>
    </w:p>
    <w:p w14:paraId="7E02D5CE">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7、专门面向中小企业采购的项目或者采购包，不再执行价格评审优惠的扶持政策。</w:t>
      </w:r>
    </w:p>
    <w:p w14:paraId="1716FA0F">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8、根据《江苏省政府采购信用管理暂行办法》的规定，供应商信用评价结果为三星的扣2分，评价结果为二星的扣3分，评价结果为一星的扣4分。</w:t>
      </w:r>
    </w:p>
    <w:p w14:paraId="5AA025F6">
      <w:pPr>
        <w:keepNext w:val="0"/>
        <w:keepLines w:val="0"/>
        <w:pageBreakBefore w:val="0"/>
        <w:widowControl w:val="0"/>
        <w:kinsoku/>
        <w:wordWrap/>
        <w:overflowPunct/>
        <w:topLinePunct w:val="0"/>
        <w:autoSpaceDE/>
        <w:autoSpaceDN/>
        <w:bidi w:val="0"/>
        <w:adjustRightInd w:val="0"/>
        <w:snapToGrid/>
        <w:spacing w:before="120" w:after="120" w:line="360" w:lineRule="exact"/>
        <w:jc w:val="left"/>
        <w:textAlignment w:val="baseline"/>
        <w:rPr>
          <w:rFonts w:hint="eastAsia" w:ascii="仿宋" w:hAnsi="仿宋" w:eastAsia="仿宋" w:cs="仿宋"/>
          <w:b/>
          <w:bCs/>
          <w:sz w:val="32"/>
          <w:szCs w:val="32"/>
        </w:rPr>
      </w:pP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评审方法与评审标准</w:t>
      </w:r>
    </w:p>
    <w:p w14:paraId="302DBE90">
      <w:pPr>
        <w:keepNext w:val="0"/>
        <w:keepLines w:val="0"/>
        <w:pageBreakBefore w:val="0"/>
        <w:widowControl w:val="0"/>
        <w:kinsoku/>
        <w:wordWrap/>
        <w:overflowPunct/>
        <w:topLinePunct w:val="0"/>
        <w:autoSpaceDE/>
        <w:autoSpaceDN/>
        <w:bidi w:val="0"/>
        <w:adjustRightInd w:val="0"/>
        <w:snapToGrid w:val="0"/>
        <w:spacing w:line="440" w:lineRule="exact"/>
        <w:ind w:firstLine="240" w:firstLineChars="1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本项目采用综合评分法，磋商小组将按下列评审方法与评审标准进行评分，总分值为100分。</w:t>
      </w:r>
    </w:p>
    <w:p w14:paraId="1665C87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以下持证</w:t>
      </w:r>
      <w:r>
        <w:rPr>
          <w:rFonts w:hint="eastAsia" w:ascii="仿宋" w:hAnsi="仿宋" w:eastAsia="仿宋" w:cs="仿宋"/>
          <w:i/>
          <w:iCs/>
          <w:sz w:val="24"/>
          <w:szCs w:val="24"/>
          <w:highlight w:val="none"/>
          <w:u w:val="single"/>
        </w:rPr>
        <w:t>人员</w:t>
      </w:r>
      <w:r>
        <w:rPr>
          <w:rFonts w:hint="eastAsia" w:ascii="仿宋" w:hAnsi="仿宋" w:eastAsia="仿宋" w:cs="仿宋"/>
          <w:i/>
          <w:iCs/>
          <w:sz w:val="24"/>
          <w:szCs w:val="24"/>
          <w:highlight w:val="none"/>
          <w:u w:val="single"/>
          <w:lang w:val="en-US" w:eastAsia="zh-CN"/>
        </w:rPr>
        <w:t>均为服务于该项目人员，若成交后派驻的人员与投标时提供的人员有不一致的，须经采购人同意后方可更换同等资格证书的人员。</w:t>
      </w:r>
    </w:p>
    <w:tbl>
      <w:tblPr>
        <w:tblStyle w:val="16"/>
        <w:tblpPr w:leftFromText="180" w:rightFromText="180" w:vertAnchor="text" w:horzAnchor="page" w:tblpX="1117" w:tblpY="545"/>
        <w:tblOverlap w:val="never"/>
        <w:tblW w:w="9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8"/>
        <w:gridCol w:w="1647"/>
        <w:gridCol w:w="6149"/>
        <w:gridCol w:w="919"/>
      </w:tblGrid>
      <w:tr w14:paraId="0A507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1018" w:type="dxa"/>
            <w:shd w:val="clear" w:color="auto" w:fill="BFBFBF"/>
            <w:vAlign w:val="center"/>
          </w:tcPr>
          <w:p w14:paraId="7C6421E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647" w:type="dxa"/>
            <w:shd w:val="clear" w:color="auto" w:fill="BFBFBF"/>
            <w:vAlign w:val="center"/>
          </w:tcPr>
          <w:p w14:paraId="1D9A2E23">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评分因素</w:t>
            </w:r>
          </w:p>
        </w:tc>
        <w:tc>
          <w:tcPr>
            <w:tcW w:w="6149" w:type="dxa"/>
            <w:shd w:val="clear" w:color="auto" w:fill="BFBFBF"/>
            <w:vAlign w:val="center"/>
          </w:tcPr>
          <w:p w14:paraId="418A9B74">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评分标准</w:t>
            </w:r>
          </w:p>
        </w:tc>
        <w:tc>
          <w:tcPr>
            <w:tcW w:w="919" w:type="dxa"/>
            <w:shd w:val="clear" w:color="auto" w:fill="BFBFBF"/>
            <w:vAlign w:val="center"/>
          </w:tcPr>
          <w:p w14:paraId="0656AE8F">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分值</w:t>
            </w:r>
          </w:p>
        </w:tc>
      </w:tr>
      <w:tr w14:paraId="6B382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2" w:hRule="atLeast"/>
        </w:trPr>
        <w:tc>
          <w:tcPr>
            <w:tcW w:w="1018" w:type="dxa"/>
            <w:vMerge w:val="restart"/>
            <w:vAlign w:val="center"/>
          </w:tcPr>
          <w:p w14:paraId="5070DB50">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sz w:val="24"/>
                <w:szCs w:val="24"/>
              </w:rPr>
            </w:pPr>
            <w:r>
              <w:rPr>
                <w:rFonts w:hint="eastAsia" w:ascii="仿宋" w:hAnsi="仿宋" w:eastAsia="仿宋" w:cs="仿宋"/>
                <w:sz w:val="24"/>
                <w:szCs w:val="24"/>
              </w:rPr>
              <w:t>1</w:t>
            </w:r>
          </w:p>
        </w:tc>
        <w:tc>
          <w:tcPr>
            <w:tcW w:w="1647" w:type="dxa"/>
            <w:vMerge w:val="restart"/>
            <w:vAlign w:val="center"/>
          </w:tcPr>
          <w:p w14:paraId="12CBEB55">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资信（10分）</w:t>
            </w:r>
          </w:p>
        </w:tc>
        <w:tc>
          <w:tcPr>
            <w:tcW w:w="6149" w:type="dxa"/>
            <w:vAlign w:val="center"/>
          </w:tcPr>
          <w:p w14:paraId="4687EBD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供应商具有质量管理体系认证、环境管理体系认证、职业健康安全认证、食品安全管理体系认证、HACCP（危害分析与关键控制点体系）认证、RB/T309-2017餐厅餐饮服务认证、GB/T27922餐饮售后服务认证的，每提供1份证书得1分，该项最高得7分。</w:t>
            </w:r>
          </w:p>
          <w:p w14:paraId="6D15219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投标时</w:t>
            </w:r>
            <w:r>
              <w:rPr>
                <w:rFonts w:hint="eastAsia" w:ascii="仿宋" w:hAnsi="仿宋" w:eastAsia="仿宋" w:cs="仿宋"/>
                <w:b/>
                <w:bCs w:val="0"/>
                <w:sz w:val="24"/>
                <w:szCs w:val="24"/>
                <w:lang w:val="en-US" w:eastAsia="zh-CN"/>
              </w:rPr>
              <w:t>需</w:t>
            </w:r>
            <w:r>
              <w:rPr>
                <w:rFonts w:hint="eastAsia" w:ascii="仿宋" w:hAnsi="仿宋" w:eastAsia="仿宋" w:cs="仿宋"/>
                <w:b/>
                <w:bCs/>
                <w:sz w:val="24"/>
                <w:szCs w:val="24"/>
              </w:rPr>
              <w:t>提供</w:t>
            </w:r>
            <w:r>
              <w:rPr>
                <w:rFonts w:hint="eastAsia" w:ascii="仿宋" w:hAnsi="仿宋" w:eastAsia="仿宋" w:cs="仿宋"/>
                <w:b/>
                <w:bCs/>
                <w:sz w:val="24"/>
                <w:szCs w:val="24"/>
                <w:lang w:val="en-US" w:eastAsia="zh-CN"/>
              </w:rPr>
              <w:t>证书扫描件</w:t>
            </w:r>
            <w:r>
              <w:rPr>
                <w:rFonts w:hint="eastAsia" w:ascii="仿宋" w:hAnsi="仿宋" w:eastAsia="仿宋" w:cs="仿宋"/>
                <w:b/>
                <w:bCs/>
                <w:sz w:val="24"/>
                <w:szCs w:val="24"/>
              </w:rPr>
              <w:t>并加盖投标人公章，否则不得分</w:t>
            </w:r>
            <w:r>
              <w:rPr>
                <w:rFonts w:hint="eastAsia" w:ascii="仿宋" w:hAnsi="仿宋" w:eastAsia="仿宋" w:cs="仿宋"/>
                <w:b/>
                <w:bCs/>
                <w:sz w:val="24"/>
                <w:szCs w:val="24"/>
                <w:lang w:eastAsia="zh-CN"/>
              </w:rPr>
              <w:t>。</w:t>
            </w:r>
          </w:p>
        </w:tc>
        <w:tc>
          <w:tcPr>
            <w:tcW w:w="919" w:type="dxa"/>
            <w:vAlign w:val="center"/>
          </w:tcPr>
          <w:p w14:paraId="4C4CB90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7</w:t>
            </w:r>
            <w:r>
              <w:rPr>
                <w:rFonts w:hint="eastAsia" w:ascii="仿宋" w:hAnsi="仿宋" w:eastAsia="仿宋" w:cs="仿宋"/>
                <w:b/>
                <w:bCs/>
                <w:color w:val="auto"/>
                <w:sz w:val="24"/>
                <w:szCs w:val="24"/>
              </w:rPr>
              <w:t>分</w:t>
            </w:r>
          </w:p>
        </w:tc>
      </w:tr>
      <w:tr w14:paraId="08064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018" w:type="dxa"/>
            <w:vMerge w:val="continue"/>
            <w:vAlign w:val="center"/>
          </w:tcPr>
          <w:p w14:paraId="177FA166">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sz w:val="24"/>
                <w:szCs w:val="24"/>
              </w:rPr>
            </w:pPr>
          </w:p>
        </w:tc>
        <w:tc>
          <w:tcPr>
            <w:tcW w:w="1647" w:type="dxa"/>
            <w:vMerge w:val="continue"/>
            <w:vAlign w:val="center"/>
          </w:tcPr>
          <w:p w14:paraId="33C8FFBF">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sz w:val="24"/>
                <w:szCs w:val="24"/>
              </w:rPr>
            </w:pPr>
          </w:p>
        </w:tc>
        <w:tc>
          <w:tcPr>
            <w:tcW w:w="6149" w:type="dxa"/>
            <w:tcBorders>
              <w:bottom w:val="single" w:color="auto" w:sz="4" w:space="0"/>
            </w:tcBorders>
            <w:vAlign w:val="center"/>
          </w:tcPr>
          <w:p w14:paraId="10C490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lang w:val="en-US" w:eastAsia="zh-CN"/>
              </w:rPr>
              <w:t>自2022年1月1日以来</w:t>
            </w:r>
            <w:r>
              <w:rPr>
                <w:rFonts w:hint="eastAsia" w:ascii="仿宋" w:hAnsi="仿宋" w:eastAsia="仿宋" w:cs="仿宋"/>
                <w:sz w:val="24"/>
                <w:szCs w:val="24"/>
              </w:rPr>
              <w:t>获得餐饮服务食品安全量化分级管理等级A级的每年度得1分，最高得3分。</w:t>
            </w:r>
          </w:p>
          <w:p w14:paraId="3C7E9E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投标时</w:t>
            </w:r>
            <w:r>
              <w:rPr>
                <w:rFonts w:hint="eastAsia" w:ascii="仿宋" w:hAnsi="仿宋" w:eastAsia="仿宋" w:cs="仿宋"/>
                <w:b/>
                <w:bCs w:val="0"/>
                <w:sz w:val="24"/>
                <w:szCs w:val="24"/>
                <w:lang w:val="en-US" w:eastAsia="zh-CN"/>
              </w:rPr>
              <w:t>需</w:t>
            </w:r>
            <w:r>
              <w:rPr>
                <w:rFonts w:hint="eastAsia" w:ascii="仿宋" w:hAnsi="仿宋" w:eastAsia="仿宋" w:cs="仿宋"/>
                <w:b/>
                <w:bCs/>
                <w:sz w:val="24"/>
                <w:szCs w:val="24"/>
              </w:rPr>
              <w:t>提供证明材料</w:t>
            </w:r>
            <w:r>
              <w:rPr>
                <w:rFonts w:hint="eastAsia" w:ascii="仿宋" w:hAnsi="仿宋" w:eastAsia="仿宋" w:cs="仿宋"/>
                <w:b/>
                <w:bCs/>
                <w:sz w:val="24"/>
                <w:szCs w:val="24"/>
                <w:lang w:val="en-US" w:eastAsia="zh-CN"/>
              </w:rPr>
              <w:t>扫描件并</w:t>
            </w:r>
            <w:r>
              <w:rPr>
                <w:rFonts w:hint="eastAsia" w:ascii="仿宋" w:hAnsi="仿宋" w:eastAsia="仿宋" w:cs="仿宋"/>
                <w:b/>
                <w:bCs/>
                <w:sz w:val="24"/>
                <w:szCs w:val="24"/>
              </w:rPr>
              <w:t>加盖投标人公章，否则不得分</w:t>
            </w:r>
            <w:r>
              <w:rPr>
                <w:rFonts w:hint="eastAsia" w:ascii="仿宋" w:hAnsi="仿宋" w:eastAsia="仿宋" w:cs="仿宋"/>
                <w:b/>
                <w:bCs/>
                <w:sz w:val="24"/>
                <w:szCs w:val="24"/>
                <w:lang w:eastAsia="zh-CN"/>
              </w:rPr>
              <w:t>。</w:t>
            </w:r>
          </w:p>
        </w:tc>
        <w:tc>
          <w:tcPr>
            <w:tcW w:w="919" w:type="dxa"/>
            <w:vAlign w:val="center"/>
          </w:tcPr>
          <w:p w14:paraId="390F01F0">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w:t>
            </w:r>
            <w:r>
              <w:rPr>
                <w:rFonts w:hint="eastAsia" w:ascii="仿宋" w:hAnsi="仿宋" w:eastAsia="仿宋" w:cs="仿宋"/>
                <w:b/>
                <w:bCs/>
                <w:color w:val="auto"/>
                <w:sz w:val="24"/>
                <w:szCs w:val="24"/>
              </w:rPr>
              <w:t>分</w:t>
            </w:r>
          </w:p>
        </w:tc>
      </w:tr>
      <w:tr w14:paraId="277E1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1018" w:type="dxa"/>
            <w:vAlign w:val="center"/>
          </w:tcPr>
          <w:p w14:paraId="05FF8418">
            <w:pPr>
              <w:keepNext w:val="0"/>
              <w:keepLines w:val="0"/>
              <w:pageBreakBefore w:val="0"/>
              <w:kinsoku/>
              <w:wordWrap/>
              <w:overflowPunct/>
              <w:topLinePunct w:val="0"/>
              <w:autoSpaceDE/>
              <w:autoSpaceDN/>
              <w:bidi w:val="0"/>
              <w:adjustRightInd/>
              <w:spacing w:line="440" w:lineRule="exact"/>
              <w:jc w:val="center"/>
              <w:textAlignment w:val="auto"/>
              <w:rPr>
                <w:rFonts w:hint="eastAsia" w:ascii="仿宋" w:hAnsi="仿宋" w:eastAsia="仿宋" w:cs="仿宋"/>
                <w:color w:val="C00000"/>
                <w:sz w:val="24"/>
                <w:szCs w:val="24"/>
                <w:lang w:val="en-US" w:eastAsia="zh-CN"/>
              </w:rPr>
            </w:pPr>
            <w:r>
              <w:rPr>
                <w:rFonts w:hint="eastAsia" w:ascii="仿宋" w:hAnsi="仿宋" w:eastAsia="仿宋" w:cs="仿宋"/>
                <w:sz w:val="24"/>
                <w:szCs w:val="24"/>
                <w:lang w:val="en-US" w:eastAsia="zh-CN"/>
              </w:rPr>
              <w:t>2</w:t>
            </w:r>
          </w:p>
        </w:tc>
        <w:tc>
          <w:tcPr>
            <w:tcW w:w="1647" w:type="dxa"/>
            <w:tcBorders>
              <w:right w:val="single" w:color="auto" w:sz="4" w:space="0"/>
            </w:tcBorders>
            <w:vAlign w:val="center"/>
          </w:tcPr>
          <w:p w14:paraId="33D06984">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color w:val="C00000"/>
                <w:sz w:val="24"/>
                <w:szCs w:val="24"/>
              </w:rPr>
            </w:pPr>
            <w:r>
              <w:rPr>
                <w:rFonts w:hint="eastAsia" w:ascii="仿宋" w:hAnsi="仿宋" w:eastAsia="仿宋" w:cs="仿宋"/>
                <w:sz w:val="24"/>
                <w:szCs w:val="24"/>
                <w:highlight w:val="none"/>
                <w:lang w:val="en-US" w:eastAsia="zh-CN"/>
              </w:rPr>
              <w:t>企业</w:t>
            </w: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分）</w:t>
            </w:r>
          </w:p>
        </w:tc>
        <w:tc>
          <w:tcPr>
            <w:tcW w:w="6149" w:type="dxa"/>
            <w:tcBorders>
              <w:top w:val="single" w:color="auto" w:sz="4" w:space="0"/>
              <w:left w:val="single" w:color="auto" w:sz="4" w:space="0"/>
              <w:bottom w:val="single" w:color="auto" w:sz="4" w:space="0"/>
              <w:right w:val="single" w:color="auto" w:sz="4" w:space="0"/>
            </w:tcBorders>
            <w:vAlign w:val="center"/>
          </w:tcPr>
          <w:p w14:paraId="17E598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供应商</w:t>
            </w:r>
            <w:r>
              <w:rPr>
                <w:rFonts w:hint="eastAsia" w:ascii="仿宋" w:hAnsi="仿宋" w:eastAsia="仿宋" w:cs="仿宋"/>
                <w:sz w:val="24"/>
                <w:szCs w:val="24"/>
                <w:lang w:val="en-US" w:eastAsia="zh-CN"/>
              </w:rPr>
              <w:t>自2023年1月1日以来</w:t>
            </w:r>
            <w:r>
              <w:rPr>
                <w:rFonts w:hint="eastAsia" w:ascii="仿宋" w:hAnsi="仿宋" w:eastAsia="仿宋" w:cs="仿宋"/>
                <w:sz w:val="24"/>
                <w:szCs w:val="24"/>
              </w:rPr>
              <w:t>从</w:t>
            </w:r>
            <w:r>
              <w:rPr>
                <w:rFonts w:hint="eastAsia" w:ascii="仿宋" w:hAnsi="仿宋" w:eastAsia="仿宋" w:cs="仿宋"/>
                <w:sz w:val="24"/>
                <w:szCs w:val="24"/>
                <w:lang w:val="en-US" w:eastAsia="zh-CN"/>
              </w:rPr>
              <w:t>事类似</w:t>
            </w:r>
            <w:r>
              <w:rPr>
                <w:rFonts w:hint="eastAsia" w:ascii="仿宋" w:hAnsi="仿宋" w:eastAsia="仿宋" w:cs="仿宋"/>
                <w:sz w:val="24"/>
                <w:szCs w:val="24"/>
              </w:rPr>
              <w:t>食堂餐饮服务业绩的，提供合同佐证，</w:t>
            </w:r>
            <w:r>
              <w:rPr>
                <w:rFonts w:hint="eastAsia" w:ascii="仿宋" w:hAnsi="仿宋" w:eastAsia="仿宋" w:cs="仿宋"/>
                <w:sz w:val="24"/>
                <w:szCs w:val="24"/>
                <w:lang w:val="en-US" w:eastAsia="zh-CN"/>
              </w:rPr>
              <w:t>提供一个单份合同</w:t>
            </w:r>
            <w:r>
              <w:rPr>
                <w:rFonts w:hint="eastAsia" w:ascii="仿宋" w:hAnsi="仿宋" w:eastAsia="仿宋" w:cs="仿宋"/>
                <w:sz w:val="24"/>
                <w:szCs w:val="24"/>
              </w:rPr>
              <w:t>就餐人数达</w:t>
            </w:r>
            <w:r>
              <w:rPr>
                <w:rFonts w:hint="eastAsia" w:ascii="仿宋" w:hAnsi="仿宋" w:eastAsia="仿宋" w:cs="仿宋"/>
                <w:sz w:val="24"/>
                <w:szCs w:val="24"/>
                <w:lang w:val="en-US" w:eastAsia="zh-CN"/>
              </w:rPr>
              <w:t>200人（含）</w:t>
            </w:r>
            <w:r>
              <w:rPr>
                <w:rFonts w:hint="eastAsia" w:ascii="仿宋" w:hAnsi="仿宋" w:eastAsia="仿宋" w:cs="仿宋"/>
                <w:sz w:val="24"/>
                <w:szCs w:val="24"/>
              </w:rPr>
              <w:t>及以上</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4</w:t>
            </w:r>
            <w:r>
              <w:rPr>
                <w:rFonts w:hint="eastAsia" w:ascii="仿宋" w:hAnsi="仿宋" w:eastAsia="仿宋" w:cs="仿宋"/>
                <w:sz w:val="24"/>
                <w:szCs w:val="24"/>
              </w:rPr>
              <w:t>分，</w:t>
            </w:r>
            <w:r>
              <w:rPr>
                <w:rFonts w:hint="eastAsia" w:ascii="仿宋" w:hAnsi="仿宋" w:eastAsia="仿宋" w:cs="仿宋"/>
                <w:sz w:val="24"/>
                <w:szCs w:val="24"/>
                <w:lang w:val="en-US" w:eastAsia="zh-CN"/>
              </w:rPr>
              <w:t>199</w:t>
            </w:r>
            <w:r>
              <w:rPr>
                <w:rFonts w:hint="eastAsia" w:ascii="仿宋" w:hAnsi="仿宋" w:eastAsia="仿宋" w:cs="仿宋"/>
                <w:sz w:val="24"/>
                <w:szCs w:val="24"/>
              </w:rPr>
              <w:t>人至</w:t>
            </w:r>
            <w:r>
              <w:rPr>
                <w:rFonts w:hint="eastAsia" w:ascii="仿宋" w:hAnsi="仿宋" w:eastAsia="仿宋" w:cs="仿宋"/>
                <w:sz w:val="24"/>
                <w:szCs w:val="24"/>
                <w:lang w:val="en-US" w:eastAsia="zh-CN"/>
              </w:rPr>
              <w:t>1</w:t>
            </w:r>
            <w:r>
              <w:rPr>
                <w:rFonts w:hint="eastAsia" w:ascii="仿宋" w:hAnsi="仿宋" w:eastAsia="仿宋" w:cs="仿宋"/>
                <w:sz w:val="24"/>
                <w:szCs w:val="24"/>
              </w:rPr>
              <w:t>00人（含）之间</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2</w:t>
            </w:r>
            <w:r>
              <w:rPr>
                <w:rFonts w:hint="eastAsia" w:ascii="仿宋" w:hAnsi="仿宋" w:eastAsia="仿宋" w:cs="仿宋"/>
                <w:sz w:val="24"/>
                <w:szCs w:val="24"/>
              </w:rPr>
              <w:t>分，</w:t>
            </w:r>
            <w:r>
              <w:rPr>
                <w:rFonts w:hint="eastAsia" w:ascii="仿宋" w:hAnsi="仿宋" w:eastAsia="仿宋" w:cs="仿宋"/>
                <w:sz w:val="24"/>
                <w:szCs w:val="24"/>
                <w:lang w:val="en-US" w:eastAsia="zh-CN"/>
              </w:rPr>
              <w:t>99</w:t>
            </w:r>
            <w:r>
              <w:rPr>
                <w:rFonts w:hint="eastAsia" w:ascii="仿宋" w:hAnsi="仿宋" w:eastAsia="仿宋" w:cs="仿宋"/>
                <w:sz w:val="24"/>
                <w:szCs w:val="24"/>
              </w:rPr>
              <w:t>人至</w:t>
            </w:r>
            <w:r>
              <w:rPr>
                <w:rFonts w:hint="eastAsia" w:ascii="仿宋" w:hAnsi="仿宋" w:eastAsia="仿宋" w:cs="仿宋"/>
                <w:sz w:val="24"/>
                <w:szCs w:val="24"/>
                <w:lang w:val="en-US" w:eastAsia="zh-CN"/>
              </w:rPr>
              <w:t>5</w:t>
            </w:r>
            <w:r>
              <w:rPr>
                <w:rFonts w:hint="eastAsia" w:ascii="仿宋" w:hAnsi="仿宋" w:eastAsia="仿宋" w:cs="仿宋"/>
                <w:sz w:val="24"/>
                <w:szCs w:val="24"/>
              </w:rPr>
              <w:t>0人（含）之间</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1</w:t>
            </w:r>
            <w:r>
              <w:rPr>
                <w:rFonts w:hint="eastAsia" w:ascii="仿宋" w:hAnsi="仿宋" w:eastAsia="仿宋" w:cs="仿宋"/>
                <w:sz w:val="24"/>
                <w:szCs w:val="24"/>
              </w:rPr>
              <w:t>分，</w:t>
            </w:r>
            <w:r>
              <w:rPr>
                <w:rFonts w:hint="eastAsia" w:ascii="仿宋" w:hAnsi="仿宋" w:eastAsia="仿宋" w:cs="仿宋"/>
                <w:sz w:val="24"/>
                <w:szCs w:val="24"/>
                <w:lang w:val="en-US" w:eastAsia="zh-CN"/>
              </w:rPr>
              <w:t>其他的</w:t>
            </w:r>
            <w:r>
              <w:rPr>
                <w:rFonts w:hint="eastAsia" w:ascii="仿宋" w:hAnsi="仿宋" w:eastAsia="仿宋" w:cs="仿宋"/>
                <w:sz w:val="24"/>
                <w:szCs w:val="24"/>
              </w:rPr>
              <w:t>不得分；</w:t>
            </w:r>
            <w:r>
              <w:rPr>
                <w:rFonts w:hint="eastAsia" w:ascii="仿宋" w:hAnsi="仿宋" w:eastAsia="仿宋" w:cs="仿宋"/>
                <w:sz w:val="24"/>
                <w:szCs w:val="24"/>
                <w:lang w:val="en-US" w:eastAsia="zh-CN"/>
              </w:rPr>
              <w:t>本项最多得10分（同一个食堂的业绩不累计得分）</w:t>
            </w:r>
            <w:r>
              <w:rPr>
                <w:rFonts w:hint="eastAsia" w:ascii="仿宋" w:hAnsi="仿宋" w:eastAsia="仿宋" w:cs="仿宋"/>
                <w:sz w:val="24"/>
                <w:szCs w:val="24"/>
                <w:lang w:eastAsia="zh-CN"/>
              </w:rPr>
              <w:t>。</w:t>
            </w:r>
          </w:p>
          <w:p w14:paraId="233327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olor w:val="C00000"/>
                <w:lang w:eastAsia="zh-CN"/>
              </w:rPr>
            </w:pPr>
            <w:r>
              <w:rPr>
                <w:rFonts w:hint="eastAsia" w:ascii="仿宋" w:hAnsi="仿宋" w:eastAsia="仿宋" w:cs="仿宋"/>
                <w:b/>
                <w:bCs/>
                <w:sz w:val="24"/>
                <w:szCs w:val="24"/>
                <w:lang w:val="en-US" w:eastAsia="zh-CN"/>
              </w:rPr>
              <w:t>投标时需</w:t>
            </w:r>
            <w:r>
              <w:rPr>
                <w:rFonts w:hint="eastAsia" w:ascii="仿宋" w:hAnsi="仿宋" w:eastAsia="仿宋" w:cs="仿宋"/>
                <w:b/>
                <w:bCs/>
                <w:sz w:val="24"/>
                <w:szCs w:val="24"/>
              </w:rPr>
              <w:t>提供食堂餐饮服务合同</w:t>
            </w:r>
            <w:r>
              <w:rPr>
                <w:rFonts w:hint="eastAsia" w:ascii="仿宋" w:hAnsi="仿宋" w:eastAsia="仿宋" w:cs="仿宋"/>
                <w:b/>
                <w:bCs/>
                <w:sz w:val="24"/>
                <w:szCs w:val="24"/>
                <w:lang w:eastAsia="zh-CN"/>
              </w:rPr>
              <w:t>（</w:t>
            </w:r>
            <w:r>
              <w:rPr>
                <w:rFonts w:hint="eastAsia" w:ascii="仿宋" w:hAnsi="仿宋" w:eastAsia="仿宋" w:cs="仿宋"/>
                <w:b/>
                <w:bCs/>
                <w:sz w:val="24"/>
                <w:szCs w:val="24"/>
              </w:rPr>
              <w:t>转包、分包合同无效</w:t>
            </w:r>
            <w:r>
              <w:rPr>
                <w:rFonts w:hint="eastAsia" w:ascii="仿宋" w:hAnsi="仿宋" w:eastAsia="仿宋" w:cs="仿宋"/>
                <w:b/>
                <w:bCs/>
                <w:sz w:val="24"/>
                <w:szCs w:val="24"/>
                <w:lang w:eastAsia="zh-CN"/>
              </w:rPr>
              <w:t>。</w:t>
            </w:r>
            <w:r>
              <w:rPr>
                <w:rFonts w:hint="eastAsia" w:ascii="仿宋" w:hAnsi="仿宋" w:eastAsia="仿宋" w:cs="仿宋"/>
                <w:b/>
                <w:bCs/>
                <w:sz w:val="24"/>
                <w:szCs w:val="24"/>
              </w:rPr>
              <w:t>若合同中未体现就餐人数，</w:t>
            </w:r>
            <w:r>
              <w:rPr>
                <w:rFonts w:hint="eastAsia" w:ascii="仿宋" w:hAnsi="仿宋" w:eastAsia="仿宋" w:cs="仿宋"/>
                <w:b/>
                <w:bCs/>
                <w:sz w:val="24"/>
                <w:szCs w:val="24"/>
                <w:lang w:val="en-US" w:eastAsia="zh-CN"/>
              </w:rPr>
              <w:t>还</w:t>
            </w:r>
            <w:r>
              <w:rPr>
                <w:rFonts w:hint="eastAsia" w:ascii="仿宋" w:hAnsi="仿宋" w:eastAsia="仿宋" w:cs="仿宋"/>
                <w:b/>
                <w:bCs/>
                <w:sz w:val="24"/>
                <w:szCs w:val="24"/>
              </w:rPr>
              <w:t>须提供加盖服务单位公章的证明材料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及合同期内至少一次的款项结算证明材料扫描件并加盖投标人公章</w:t>
            </w:r>
            <w:r>
              <w:rPr>
                <w:rFonts w:hint="eastAsia" w:ascii="仿宋" w:hAnsi="仿宋" w:eastAsia="仿宋" w:cs="仿宋"/>
                <w:b/>
                <w:bCs/>
                <w:sz w:val="24"/>
                <w:szCs w:val="24"/>
              </w:rPr>
              <w:t>，否则不得分</w:t>
            </w:r>
            <w:r>
              <w:rPr>
                <w:rFonts w:hint="eastAsia" w:ascii="仿宋" w:hAnsi="仿宋" w:eastAsia="仿宋" w:cs="仿宋"/>
                <w:b/>
                <w:bCs/>
                <w:sz w:val="24"/>
                <w:szCs w:val="24"/>
                <w:lang w:eastAsia="zh-CN"/>
              </w:rPr>
              <w:t>。</w:t>
            </w:r>
          </w:p>
        </w:tc>
        <w:tc>
          <w:tcPr>
            <w:tcW w:w="919" w:type="dxa"/>
            <w:tcBorders>
              <w:left w:val="single" w:color="auto" w:sz="4" w:space="0"/>
            </w:tcBorders>
            <w:vAlign w:val="center"/>
          </w:tcPr>
          <w:p w14:paraId="6492EA71">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b/>
                <w:bCs/>
                <w:color w:val="C00000"/>
                <w:sz w:val="24"/>
                <w:szCs w:val="24"/>
                <w:lang w:val="en-US" w:eastAsia="zh-CN"/>
              </w:rPr>
            </w:pPr>
            <w:r>
              <w:rPr>
                <w:rFonts w:hint="eastAsia" w:ascii="仿宋" w:hAnsi="仿宋" w:eastAsia="仿宋" w:cs="仿宋"/>
                <w:b/>
                <w:bCs/>
                <w:sz w:val="24"/>
                <w:szCs w:val="24"/>
                <w:lang w:val="en-US" w:eastAsia="zh-CN"/>
              </w:rPr>
              <w:t>10分</w:t>
            </w:r>
          </w:p>
        </w:tc>
      </w:tr>
      <w:tr w14:paraId="2C40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1018" w:type="dxa"/>
            <w:vAlign w:val="center"/>
          </w:tcPr>
          <w:p w14:paraId="239C3256">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1647" w:type="dxa"/>
            <w:tcBorders>
              <w:right w:val="single" w:color="auto" w:sz="4" w:space="0"/>
            </w:tcBorders>
            <w:vAlign w:val="center"/>
          </w:tcPr>
          <w:p w14:paraId="39DE39F5">
            <w:pPr>
              <w:keepNext w:val="0"/>
              <w:keepLines w:val="0"/>
              <w:pageBreakBefore w:val="0"/>
              <w:kinsoku/>
              <w:wordWrap/>
              <w:overflowPunct/>
              <w:topLinePunct w:val="0"/>
              <w:autoSpaceDE/>
              <w:autoSpaceDN/>
              <w:bidi w:val="0"/>
              <w:adjustRightInd/>
              <w:spacing w:line="44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企业荣誉  （5分）</w:t>
            </w:r>
          </w:p>
        </w:tc>
        <w:tc>
          <w:tcPr>
            <w:tcW w:w="6149" w:type="dxa"/>
            <w:tcBorders>
              <w:top w:val="single" w:color="auto" w:sz="4" w:space="0"/>
              <w:left w:val="single" w:color="auto" w:sz="4" w:space="0"/>
              <w:bottom w:val="single" w:color="auto" w:sz="4" w:space="0"/>
              <w:right w:val="single" w:color="auto" w:sz="4" w:space="0"/>
            </w:tcBorders>
            <w:vAlign w:val="center"/>
          </w:tcPr>
          <w:p w14:paraId="436646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1、投标人所服务的食堂，在其承包期间被食品药品监督管理局或市场监督管理局评为餐饮服务食品安全管理示范食堂的，有一个得1分，本项最高得2分。</w:t>
            </w:r>
          </w:p>
          <w:p w14:paraId="694D47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提供授奖单位签发的文件或授奖单位出具的证明材料扫描件（证明材料须能体现投标供应商名称，如无法体现，还须另附颁奖单位的相关证明材料）并</w:t>
            </w:r>
            <w:r>
              <w:rPr>
                <w:rFonts w:hint="eastAsia" w:ascii="仿宋" w:hAnsi="仿宋" w:eastAsia="仿宋" w:cs="仿宋"/>
                <w:b/>
                <w:bCs/>
                <w:sz w:val="24"/>
                <w:szCs w:val="24"/>
                <w:highlight w:val="none"/>
              </w:rPr>
              <w:t>加盖投标人公章，否则不得分</w:t>
            </w:r>
            <w:r>
              <w:rPr>
                <w:rFonts w:hint="eastAsia" w:ascii="仿宋" w:hAnsi="仿宋" w:eastAsia="仿宋" w:cs="仿宋"/>
                <w:b/>
                <w:bCs/>
                <w:sz w:val="24"/>
                <w:szCs w:val="24"/>
                <w:highlight w:val="none"/>
                <w:lang w:eastAsia="zh-CN"/>
              </w:rPr>
              <w:t>。</w:t>
            </w:r>
          </w:p>
          <w:p w14:paraId="6E3EAE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2、投标人或拟派厨师获得过县级及以上表彰荣誉的，有一个得1分。本项最高得3分。</w:t>
            </w:r>
          </w:p>
          <w:p w14:paraId="021377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提供荣誉证书扫描件加盖投标人公章</w:t>
            </w:r>
            <w:r>
              <w:rPr>
                <w:rFonts w:hint="eastAsia" w:ascii="仿宋" w:hAnsi="仿宋" w:eastAsia="仿宋" w:cs="仿宋"/>
                <w:b/>
                <w:bCs/>
                <w:sz w:val="24"/>
                <w:szCs w:val="24"/>
                <w:highlight w:val="none"/>
              </w:rPr>
              <w:t>，否则不得分</w:t>
            </w:r>
            <w:r>
              <w:rPr>
                <w:rFonts w:hint="eastAsia" w:ascii="仿宋" w:hAnsi="仿宋" w:eastAsia="仿宋" w:cs="仿宋"/>
                <w:b/>
                <w:bCs/>
                <w:sz w:val="24"/>
                <w:szCs w:val="24"/>
                <w:highlight w:val="none"/>
                <w:lang w:eastAsia="zh-CN"/>
              </w:rPr>
              <w:t>。</w:t>
            </w:r>
          </w:p>
        </w:tc>
        <w:tc>
          <w:tcPr>
            <w:tcW w:w="919" w:type="dxa"/>
            <w:tcBorders>
              <w:left w:val="single" w:color="auto" w:sz="4" w:space="0"/>
            </w:tcBorders>
            <w:vAlign w:val="center"/>
          </w:tcPr>
          <w:p w14:paraId="0DA07285">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5分</w:t>
            </w:r>
          </w:p>
        </w:tc>
      </w:tr>
      <w:tr w14:paraId="3BFBB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1018" w:type="dxa"/>
            <w:vMerge w:val="restart"/>
            <w:vAlign w:val="center"/>
          </w:tcPr>
          <w:p w14:paraId="731F5EE3">
            <w:pPr>
              <w:keepNext w:val="0"/>
              <w:keepLines w:val="0"/>
              <w:pageBreakBefore w:val="0"/>
              <w:kinsoku/>
              <w:wordWrap/>
              <w:overflowPunct/>
              <w:topLinePunct w:val="0"/>
              <w:autoSpaceDE/>
              <w:autoSpaceDN/>
              <w:bidi w:val="0"/>
              <w:adjustRightInd/>
              <w:spacing w:line="440" w:lineRule="exact"/>
              <w:jc w:val="center"/>
              <w:rPr>
                <w:rFonts w:hint="eastAsia" w:eastAsia="宋体"/>
                <w:lang w:val="en-US" w:eastAsia="zh-CN"/>
              </w:rPr>
            </w:pPr>
            <w:r>
              <w:rPr>
                <w:rFonts w:hint="eastAsia"/>
                <w:lang w:val="en-US" w:eastAsia="zh-CN"/>
              </w:rPr>
              <w:t>4</w:t>
            </w:r>
          </w:p>
        </w:tc>
        <w:tc>
          <w:tcPr>
            <w:tcW w:w="1647" w:type="dxa"/>
            <w:vMerge w:val="restart"/>
            <w:tcBorders>
              <w:right w:val="single" w:color="auto" w:sz="4" w:space="0"/>
            </w:tcBorders>
            <w:vAlign w:val="center"/>
          </w:tcPr>
          <w:p w14:paraId="549A8E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C00000"/>
                <w:sz w:val="24"/>
                <w:szCs w:val="24"/>
              </w:rPr>
            </w:pPr>
            <w:r>
              <w:rPr>
                <w:rFonts w:hint="eastAsia" w:ascii="仿宋" w:hAnsi="仿宋" w:eastAsia="仿宋" w:cs="仿宋"/>
                <w:sz w:val="24"/>
                <w:szCs w:val="24"/>
                <w:lang w:val="en-US" w:eastAsia="zh-CN"/>
              </w:rPr>
              <w:t>团队实力 （27分）</w:t>
            </w:r>
          </w:p>
        </w:tc>
        <w:tc>
          <w:tcPr>
            <w:tcW w:w="6149" w:type="dxa"/>
            <w:tcBorders>
              <w:top w:val="single" w:color="auto" w:sz="4" w:space="0"/>
              <w:left w:val="single" w:color="auto" w:sz="4" w:space="0"/>
              <w:bottom w:val="single" w:color="auto" w:sz="4" w:space="0"/>
              <w:right w:val="single" w:color="auto" w:sz="4" w:space="0"/>
            </w:tcBorders>
            <w:vAlign w:val="center"/>
          </w:tcPr>
          <w:p w14:paraId="0D809A8E">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1、投标人派往本项目项目负责人兼厨师长具有3年以上（含3年）管理经验的得4分；具有1年（含）至3年（不含）以下管理经验的得2分，本项最多得4分。</w:t>
            </w:r>
          </w:p>
          <w:p w14:paraId="362230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投标时需提供与服务单位签订的合同等证明材料（项目负责人的姓名需体现在相关的合同中，若投标人提供的合同上无法体现项目负责人姓名的，还须另行提供由原服务单位盖章确认项目负责人的证明材料）及由社保部门出具的投标单位为其缴纳的2025年8月份至2025年10月份三个月里至少一个月的养老保险缴费记录扫描件加盖投标人公章</w:t>
            </w:r>
            <w:r>
              <w:rPr>
                <w:rFonts w:hint="eastAsia" w:ascii="仿宋" w:hAnsi="仿宋" w:eastAsia="仿宋" w:cs="仿宋"/>
                <w:b/>
                <w:bCs/>
                <w:sz w:val="24"/>
                <w:szCs w:val="24"/>
                <w:highlight w:val="none"/>
              </w:rPr>
              <w:t>，否则不得分</w:t>
            </w:r>
            <w:r>
              <w:rPr>
                <w:rFonts w:hint="eastAsia" w:ascii="仿宋" w:hAnsi="仿宋" w:eastAsia="仿宋" w:cs="仿宋"/>
                <w:b/>
                <w:bCs/>
                <w:sz w:val="24"/>
                <w:szCs w:val="24"/>
                <w:highlight w:val="none"/>
                <w:lang w:eastAsia="zh-CN"/>
              </w:rPr>
              <w:t>。</w:t>
            </w:r>
          </w:p>
          <w:p w14:paraId="6C0312AF">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投标人派往本项目项目负责人兼厨师长和其他厨师具有四级厨师证的得0.5分，具有三级厨师证的得1分；具有二级厨师证的得1.5分，具有一级厨师证的得2分，本项满分4分。同一人的证书不累计计分，以最高资格计分。</w:t>
            </w:r>
          </w:p>
          <w:p w14:paraId="4976D3D3">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投标时须明确4名厨师分别具有的等级及证书扫描件加盖投标人公章，否则不得分。</w:t>
            </w:r>
          </w:p>
          <w:p w14:paraId="40419A39">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3、投标人承诺派往本项目的成员中，具有公共营养师证书的得1分，具有食品安全管理员证书得1分，具有食品安全管理师证书得1分（均按最高级别算）。本项满分3分。同一人的证书不累计计分。</w:t>
            </w:r>
          </w:p>
          <w:p w14:paraId="4B3E0656">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提供证书扫描件加盖投标人公章，否则不得分。</w:t>
            </w:r>
          </w:p>
          <w:p w14:paraId="5702F756">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4、厨师年龄小于55周岁的，有一个加1分，该项最高得4分。</w:t>
            </w:r>
          </w:p>
          <w:p w14:paraId="12A28CAC">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cs="宋体"/>
                <w:color w:val="C00000"/>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提供厨师（长）的身份证扫描件及由社保部门出具的投标单位为其缴纳的2025年8月份至2025年10月份三个月里至少一个月的养老保险缴费记录扫描件加盖投标人公章，否则不得分。</w:t>
            </w:r>
          </w:p>
        </w:tc>
        <w:tc>
          <w:tcPr>
            <w:tcW w:w="919" w:type="dxa"/>
            <w:tcBorders>
              <w:left w:val="single" w:color="auto" w:sz="4" w:space="0"/>
            </w:tcBorders>
            <w:vAlign w:val="center"/>
          </w:tcPr>
          <w:p w14:paraId="2CFDB0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15分</w:t>
            </w:r>
          </w:p>
        </w:tc>
      </w:tr>
      <w:tr w14:paraId="74649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1018" w:type="dxa"/>
            <w:vMerge w:val="continue"/>
            <w:vAlign w:val="center"/>
          </w:tcPr>
          <w:p w14:paraId="06D2978C">
            <w:pPr>
              <w:keepNext w:val="0"/>
              <w:keepLines w:val="0"/>
              <w:pageBreakBefore w:val="0"/>
              <w:kinsoku/>
              <w:wordWrap/>
              <w:overflowPunct/>
              <w:topLinePunct w:val="0"/>
              <w:autoSpaceDE/>
              <w:autoSpaceDN/>
              <w:bidi w:val="0"/>
              <w:adjustRightInd/>
              <w:spacing w:line="440" w:lineRule="exact"/>
            </w:pPr>
          </w:p>
        </w:tc>
        <w:tc>
          <w:tcPr>
            <w:tcW w:w="1647" w:type="dxa"/>
            <w:vMerge w:val="continue"/>
            <w:tcBorders>
              <w:right w:val="single" w:color="auto" w:sz="4" w:space="0"/>
            </w:tcBorders>
            <w:vAlign w:val="center"/>
          </w:tcPr>
          <w:p w14:paraId="65843B6A">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sz w:val="24"/>
                <w:szCs w:val="24"/>
              </w:rPr>
            </w:pPr>
          </w:p>
        </w:tc>
        <w:tc>
          <w:tcPr>
            <w:tcW w:w="6149" w:type="dxa"/>
            <w:tcBorders>
              <w:top w:val="single" w:color="auto" w:sz="4" w:space="0"/>
              <w:left w:val="single" w:color="auto" w:sz="4" w:space="0"/>
              <w:bottom w:val="single" w:color="auto" w:sz="4" w:space="0"/>
              <w:right w:val="single" w:color="auto" w:sz="4" w:space="0"/>
            </w:tcBorders>
            <w:vAlign w:val="center"/>
          </w:tcPr>
          <w:p w14:paraId="6D7C28B0">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5、面点师1名：具有面点大师荣誉证书的得2分。本项最高得分2分。</w:t>
            </w:r>
          </w:p>
          <w:p w14:paraId="3F83D42D">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sz w:val="24"/>
                <w:szCs w:val="24"/>
                <w:lang w:eastAsia="zh-CN"/>
              </w:rPr>
            </w:pPr>
            <w:r>
              <w:rPr>
                <w:rFonts w:hint="eastAsia" w:ascii="仿宋" w:hAnsi="仿宋" w:eastAsia="仿宋" w:cs="仿宋"/>
                <w:b/>
                <w:bCs/>
                <w:sz w:val="24"/>
                <w:szCs w:val="24"/>
                <w:lang w:val="en-US" w:eastAsia="zh-CN"/>
              </w:rPr>
              <w:t>投标时</w:t>
            </w:r>
            <w:r>
              <w:rPr>
                <w:rFonts w:hint="eastAsia" w:ascii="仿宋" w:hAnsi="仿宋" w:eastAsia="仿宋" w:cs="仿宋"/>
                <w:b/>
                <w:bCs w:val="0"/>
                <w:sz w:val="24"/>
                <w:szCs w:val="24"/>
                <w:lang w:val="en-US" w:eastAsia="zh-CN"/>
              </w:rPr>
              <w:t>需</w:t>
            </w:r>
            <w:r>
              <w:rPr>
                <w:rFonts w:hint="eastAsia" w:ascii="仿宋" w:hAnsi="仿宋" w:eastAsia="仿宋" w:cs="仿宋"/>
                <w:b/>
                <w:bCs/>
                <w:sz w:val="24"/>
                <w:szCs w:val="24"/>
                <w:lang w:val="en-US" w:eastAsia="zh-CN"/>
              </w:rPr>
              <w:t>提供证书及由社保部门出具的投标单位为其缴纳的2025年8月份至2025年10月份三个月里至少一个月的养老保险缴费记录扫描件加盖投标人公章，否则不得分。</w:t>
            </w:r>
          </w:p>
        </w:tc>
        <w:tc>
          <w:tcPr>
            <w:tcW w:w="919" w:type="dxa"/>
            <w:tcBorders>
              <w:left w:val="single" w:color="auto" w:sz="4" w:space="0"/>
            </w:tcBorders>
            <w:vAlign w:val="center"/>
          </w:tcPr>
          <w:p w14:paraId="232D17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2分</w:t>
            </w:r>
          </w:p>
        </w:tc>
      </w:tr>
      <w:tr w14:paraId="2E825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trPr>
        <w:tc>
          <w:tcPr>
            <w:tcW w:w="1018" w:type="dxa"/>
            <w:vMerge w:val="continue"/>
            <w:vAlign w:val="center"/>
          </w:tcPr>
          <w:p w14:paraId="323421C8">
            <w:pPr>
              <w:keepNext w:val="0"/>
              <w:keepLines w:val="0"/>
              <w:pageBreakBefore w:val="0"/>
              <w:kinsoku/>
              <w:wordWrap/>
              <w:overflowPunct/>
              <w:topLinePunct w:val="0"/>
              <w:autoSpaceDE/>
              <w:autoSpaceDN/>
              <w:bidi w:val="0"/>
              <w:adjustRightInd/>
              <w:spacing w:line="440" w:lineRule="exact"/>
            </w:pPr>
          </w:p>
        </w:tc>
        <w:tc>
          <w:tcPr>
            <w:tcW w:w="1647" w:type="dxa"/>
            <w:vMerge w:val="continue"/>
            <w:tcBorders>
              <w:right w:val="single" w:color="auto" w:sz="4" w:space="0"/>
            </w:tcBorders>
            <w:vAlign w:val="center"/>
          </w:tcPr>
          <w:p w14:paraId="1717FF26">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sz w:val="24"/>
                <w:szCs w:val="24"/>
              </w:rPr>
            </w:pPr>
          </w:p>
        </w:tc>
        <w:tc>
          <w:tcPr>
            <w:tcW w:w="6149" w:type="dxa"/>
            <w:tcBorders>
              <w:top w:val="single" w:color="auto" w:sz="4" w:space="0"/>
              <w:left w:val="single" w:color="auto" w:sz="4" w:space="0"/>
              <w:bottom w:val="single" w:color="auto" w:sz="4" w:space="0"/>
              <w:right w:val="single" w:color="auto" w:sz="4" w:space="0"/>
            </w:tcBorders>
            <w:vAlign w:val="center"/>
          </w:tcPr>
          <w:p w14:paraId="6365E7BA">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6、拟派人员中服务员在满足本项目需求的基础上（采购需求要求服务员13人）每增加1人得5分，该项最高得10分。</w:t>
            </w:r>
          </w:p>
          <w:p w14:paraId="3D6FC805">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zh-CN" w:eastAsia="zh-CN" w:bidi="ar-SA"/>
              </w:rPr>
              <w:t>注：（</w:t>
            </w:r>
            <w:r>
              <w:rPr>
                <w:rFonts w:hint="eastAsia" w:ascii="仿宋" w:hAnsi="仿宋" w:eastAsia="仿宋" w:cs="仿宋"/>
                <w:b/>
                <w:bCs/>
                <w:kern w:val="2"/>
                <w:sz w:val="24"/>
                <w:szCs w:val="24"/>
                <w:highlight w:val="none"/>
                <w:lang w:val="en-US" w:eastAsia="zh-CN" w:bidi="ar-SA"/>
              </w:rPr>
              <w:t>1</w:t>
            </w:r>
            <w:r>
              <w:rPr>
                <w:rFonts w:hint="eastAsia" w:ascii="仿宋" w:hAnsi="仿宋" w:eastAsia="仿宋" w:cs="仿宋"/>
                <w:b/>
                <w:bCs/>
                <w:kern w:val="2"/>
                <w:sz w:val="24"/>
                <w:szCs w:val="24"/>
                <w:highlight w:val="none"/>
                <w:lang w:val="zh-CN" w:eastAsia="zh-CN" w:bidi="ar-SA"/>
              </w:rPr>
              <w:t>）</w:t>
            </w:r>
            <w:r>
              <w:rPr>
                <w:rFonts w:hint="eastAsia" w:ascii="仿宋" w:hAnsi="仿宋" w:eastAsia="仿宋" w:cs="仿宋"/>
                <w:b/>
                <w:bCs/>
                <w:kern w:val="2"/>
                <w:sz w:val="24"/>
                <w:szCs w:val="24"/>
                <w:highlight w:val="none"/>
                <w:lang w:val="en-US" w:eastAsia="zh-CN" w:bidi="ar-SA"/>
              </w:rPr>
              <w:t>投标时需提供人员情况说明（格式自拟）；</w:t>
            </w:r>
          </w:p>
          <w:p w14:paraId="58319396">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kern w:val="2"/>
                <w:sz w:val="24"/>
                <w:szCs w:val="24"/>
                <w:highlight w:val="none"/>
                <w:lang w:val="zh-CN" w:eastAsia="zh-CN" w:bidi="ar-SA"/>
              </w:rPr>
              <w:t>（</w:t>
            </w:r>
            <w:r>
              <w:rPr>
                <w:rFonts w:hint="eastAsia" w:ascii="仿宋" w:hAnsi="仿宋" w:eastAsia="仿宋" w:cs="仿宋"/>
                <w:b/>
                <w:bCs/>
                <w:kern w:val="2"/>
                <w:sz w:val="24"/>
                <w:szCs w:val="24"/>
                <w:highlight w:val="none"/>
                <w:lang w:val="en-US" w:eastAsia="zh-CN" w:bidi="ar-SA"/>
              </w:rPr>
              <w:t>2</w:t>
            </w:r>
            <w:r>
              <w:rPr>
                <w:rFonts w:hint="eastAsia" w:ascii="仿宋" w:hAnsi="仿宋" w:eastAsia="仿宋" w:cs="仿宋"/>
                <w:b/>
                <w:bCs/>
                <w:kern w:val="2"/>
                <w:sz w:val="24"/>
                <w:szCs w:val="24"/>
                <w:highlight w:val="none"/>
                <w:lang w:val="zh-CN" w:eastAsia="zh-CN" w:bidi="ar-SA"/>
              </w:rPr>
              <w:t>）如此处配备人员数量高于本项目需求的基础人员的，</w:t>
            </w:r>
            <w:r>
              <w:rPr>
                <w:rFonts w:hint="eastAsia" w:ascii="仿宋" w:hAnsi="仿宋" w:eastAsia="仿宋" w:cs="仿宋"/>
                <w:b/>
                <w:bCs/>
                <w:kern w:val="2"/>
                <w:sz w:val="24"/>
                <w:szCs w:val="24"/>
                <w:highlight w:val="none"/>
                <w:lang w:val="en-US" w:eastAsia="zh-CN" w:bidi="ar-SA"/>
              </w:rPr>
              <w:t>增加的该部分人员工资、社保及福利等各项支出须包含在总价中</w:t>
            </w:r>
            <w:r>
              <w:rPr>
                <w:rFonts w:hint="eastAsia" w:ascii="仿宋" w:hAnsi="仿宋" w:eastAsia="仿宋" w:cs="仿宋"/>
                <w:b/>
                <w:bCs/>
                <w:color w:val="auto"/>
                <w:sz w:val="21"/>
                <w:szCs w:val="21"/>
                <w:highlight w:val="none"/>
                <w:lang w:eastAsia="zh-CN"/>
              </w:rPr>
              <w:t>。</w:t>
            </w:r>
          </w:p>
          <w:p w14:paraId="3A4E9036">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color w:val="auto"/>
                <w:sz w:val="24"/>
                <w:szCs w:val="24"/>
                <w:highlight w:val="none"/>
                <w:lang w:val="en-US" w:eastAsia="zh-CN"/>
              </w:rPr>
              <w:t>投标时需提供服务人员身份证扫描件及由社保部门出具的投标单位为其缴纳的2025年8月份至2025年10月份三个月里至少一个月的养老保险缴费记录扫描件加盖投标人公章，否则不得分。</w:t>
            </w:r>
          </w:p>
        </w:tc>
        <w:tc>
          <w:tcPr>
            <w:tcW w:w="919" w:type="dxa"/>
            <w:tcBorders>
              <w:left w:val="single" w:color="auto" w:sz="4" w:space="0"/>
            </w:tcBorders>
            <w:vAlign w:val="center"/>
          </w:tcPr>
          <w:p w14:paraId="178EFA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cs="宋体"/>
                <w:b/>
                <w:bCs/>
                <w:sz w:val="24"/>
                <w:szCs w:val="24"/>
                <w:lang w:val="en-US" w:eastAsia="zh-CN"/>
              </w:rPr>
            </w:pPr>
            <w:r>
              <w:rPr>
                <w:rFonts w:hint="eastAsia" w:ascii="宋体" w:hAnsi="宋体" w:cs="宋体"/>
                <w:b/>
                <w:bCs/>
                <w:sz w:val="24"/>
                <w:szCs w:val="24"/>
                <w:lang w:val="en-US" w:eastAsia="zh-CN"/>
              </w:rPr>
              <w:t>10分</w:t>
            </w:r>
          </w:p>
        </w:tc>
      </w:tr>
      <w:tr w14:paraId="41F49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1018" w:type="dxa"/>
            <w:vMerge w:val="restart"/>
            <w:vAlign w:val="center"/>
          </w:tcPr>
          <w:p w14:paraId="17045F4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5</w:t>
            </w:r>
          </w:p>
        </w:tc>
        <w:tc>
          <w:tcPr>
            <w:tcW w:w="1647" w:type="dxa"/>
            <w:vMerge w:val="restart"/>
            <w:shd w:val="clear" w:color="auto" w:fill="auto"/>
            <w:vAlign w:val="center"/>
          </w:tcPr>
          <w:p w14:paraId="4F6BF011">
            <w:pPr>
              <w:keepNext w:val="0"/>
              <w:keepLines w:val="0"/>
              <w:pageBreakBefore w:val="0"/>
              <w:kinsoku/>
              <w:wordWrap/>
              <w:overflowPunct/>
              <w:topLinePunct w:val="0"/>
              <w:autoSpaceDE/>
              <w:autoSpaceDN/>
              <w:bidi w:val="0"/>
              <w:adjustRightInd/>
              <w:snapToGrid w:val="0"/>
              <w:spacing w:after="0" w:line="440" w:lineRule="exact"/>
              <w:jc w:val="both"/>
              <w:textAlignment w:val="auto"/>
              <w:rPr>
                <w:rFonts w:hint="eastAsia" w:ascii="宋体" w:hAnsi="宋体" w:eastAsia="宋体" w:cs="宋体"/>
                <w:sz w:val="24"/>
                <w:szCs w:val="24"/>
                <w:highlight w:val="none"/>
                <w14:ligatures w14:val="none"/>
              </w:rPr>
            </w:pPr>
            <w:r>
              <w:rPr>
                <w:rFonts w:hint="eastAsia" w:ascii="仿宋" w:hAnsi="仿宋" w:eastAsia="仿宋" w:cs="仿宋"/>
                <w:sz w:val="24"/>
                <w:szCs w:val="24"/>
                <w:highlight w:val="none"/>
              </w:rPr>
              <w:t>服务方案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分）</w:t>
            </w:r>
          </w:p>
        </w:tc>
        <w:tc>
          <w:tcPr>
            <w:tcW w:w="6149" w:type="dxa"/>
            <w:tcBorders>
              <w:top w:val="single" w:color="auto" w:sz="4" w:space="0"/>
            </w:tcBorders>
            <w:shd w:val="clear" w:color="auto" w:fill="auto"/>
            <w:vAlign w:val="center"/>
          </w:tcPr>
          <w:p w14:paraId="564AD7EA">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14:ligatures w14:val="none"/>
              </w:rPr>
            </w:pPr>
            <w:r>
              <w:rPr>
                <w:rFonts w:hint="eastAsia" w:ascii="仿宋" w:hAnsi="仿宋" w:eastAsia="仿宋" w:cs="仿宋"/>
                <w:kern w:val="2"/>
                <w:sz w:val="24"/>
                <w:szCs w:val="24"/>
                <w:highlight w:val="none"/>
                <w:lang w:val="zh-CN" w:eastAsia="zh-CN" w:bidi="ar-SA"/>
              </w:rPr>
              <w:t>供应商应围绕本项目食堂餐饮计划、特点优势、风味特色经营与服务方式、饭菜品种、安全卫生、人性化服务程度等内容编制；评委就供应商的经营方案描述进行评审：方案完善度涵盖高，包含特色和优惠服务方案，且表述细致的得</w:t>
            </w:r>
            <w:r>
              <w:rPr>
                <w:rFonts w:hint="eastAsia" w:ascii="仿宋" w:hAnsi="仿宋" w:eastAsia="仿宋" w:cs="仿宋"/>
                <w:kern w:val="2"/>
                <w:sz w:val="24"/>
                <w:szCs w:val="24"/>
                <w:highlight w:val="none"/>
                <w:lang w:val="en-US" w:eastAsia="zh-CN" w:bidi="ar-SA"/>
              </w:rPr>
              <w:t>6</w:t>
            </w:r>
            <w:r>
              <w:rPr>
                <w:rFonts w:hint="eastAsia" w:ascii="仿宋" w:hAnsi="仿宋" w:eastAsia="仿宋" w:cs="仿宋"/>
                <w:kern w:val="2"/>
                <w:sz w:val="24"/>
                <w:szCs w:val="24"/>
                <w:highlight w:val="none"/>
                <w:lang w:val="zh-CN" w:eastAsia="zh-CN" w:bidi="ar-SA"/>
              </w:rPr>
              <w:t>分；方案完善度有提升空间，表述不尽全面的得4分；方案完善度不全面，表述粗疏的得</w:t>
            </w:r>
            <w:r>
              <w:rPr>
                <w:rFonts w:hint="eastAsia" w:ascii="仿宋" w:hAnsi="仿宋" w:eastAsia="仿宋" w:cs="仿宋"/>
                <w:kern w:val="2"/>
                <w:sz w:val="24"/>
                <w:szCs w:val="24"/>
                <w:highlight w:val="none"/>
                <w:lang w:val="en-US" w:eastAsia="zh-CN" w:bidi="ar-SA"/>
              </w:rPr>
              <w:t>2</w:t>
            </w:r>
            <w:r>
              <w:rPr>
                <w:rFonts w:hint="eastAsia" w:ascii="仿宋" w:hAnsi="仿宋" w:eastAsia="仿宋" w:cs="仿宋"/>
                <w:kern w:val="2"/>
                <w:sz w:val="24"/>
                <w:szCs w:val="24"/>
                <w:highlight w:val="none"/>
                <w:lang w:val="zh-CN" w:eastAsia="zh-CN" w:bidi="ar-SA"/>
              </w:rPr>
              <w:t>分；方案完善度差，表述缺失的得</w:t>
            </w:r>
            <w:r>
              <w:rPr>
                <w:rFonts w:hint="eastAsia" w:ascii="仿宋" w:hAnsi="仿宋" w:eastAsia="仿宋" w:cs="仿宋"/>
                <w:kern w:val="2"/>
                <w:sz w:val="24"/>
                <w:szCs w:val="24"/>
                <w:highlight w:val="none"/>
                <w:lang w:val="en-US" w:eastAsia="zh-CN" w:bidi="ar-SA"/>
              </w:rPr>
              <w:t>1</w:t>
            </w:r>
            <w:r>
              <w:rPr>
                <w:rFonts w:hint="eastAsia" w:ascii="仿宋" w:hAnsi="仿宋" w:eastAsia="仿宋" w:cs="仿宋"/>
                <w:kern w:val="2"/>
                <w:sz w:val="24"/>
                <w:szCs w:val="24"/>
                <w:highlight w:val="none"/>
                <w:lang w:val="zh-CN" w:eastAsia="zh-CN" w:bidi="ar-SA"/>
              </w:rPr>
              <w:t>分；不提供不得分。</w:t>
            </w:r>
          </w:p>
        </w:tc>
        <w:tc>
          <w:tcPr>
            <w:tcW w:w="919" w:type="dxa"/>
            <w:shd w:val="clear" w:color="auto" w:fill="auto"/>
            <w:vAlign w:val="center"/>
          </w:tcPr>
          <w:p w14:paraId="7EC7D4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sz w:val="24"/>
                <w:szCs w:val="24"/>
                <w:highlight w:val="yellow"/>
                <w:lang w:val="en-US" w:eastAsia="zh-CN"/>
              </w:rPr>
            </w:pPr>
            <w:r>
              <w:rPr>
                <w:rFonts w:hint="eastAsia" w:ascii="宋体" w:hAnsi="宋体" w:cs="宋体"/>
                <w:b/>
                <w:bCs/>
                <w:sz w:val="24"/>
                <w:szCs w:val="24"/>
                <w:lang w:val="en-US" w:eastAsia="zh-CN"/>
              </w:rPr>
              <w:t>6分</w:t>
            </w:r>
          </w:p>
        </w:tc>
      </w:tr>
      <w:tr w14:paraId="29A61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1018" w:type="dxa"/>
            <w:vMerge w:val="continue"/>
            <w:vAlign w:val="center"/>
          </w:tcPr>
          <w:p w14:paraId="2A0AEDE5">
            <w:pPr>
              <w:keepNext w:val="0"/>
              <w:keepLines w:val="0"/>
              <w:pageBreakBefore w:val="0"/>
              <w:widowControl/>
              <w:kinsoku/>
              <w:wordWrap/>
              <w:overflowPunct/>
              <w:topLinePunct w:val="0"/>
              <w:autoSpaceDE/>
              <w:autoSpaceDN/>
              <w:bidi w:val="0"/>
              <w:adjustRightInd/>
              <w:snapToGrid/>
              <w:spacing w:line="440" w:lineRule="exact"/>
              <w:textAlignment w:val="center"/>
            </w:pPr>
          </w:p>
        </w:tc>
        <w:tc>
          <w:tcPr>
            <w:tcW w:w="1647" w:type="dxa"/>
            <w:vMerge w:val="continue"/>
            <w:shd w:val="clear" w:color="auto" w:fill="auto"/>
            <w:vAlign w:val="center"/>
          </w:tcPr>
          <w:p w14:paraId="4B5E332B">
            <w:pPr>
              <w:keepNext w:val="0"/>
              <w:keepLines w:val="0"/>
              <w:pageBreakBefore w:val="0"/>
              <w:widowControl/>
              <w:kinsoku/>
              <w:wordWrap/>
              <w:overflowPunct/>
              <w:topLinePunct w:val="0"/>
              <w:autoSpaceDE/>
              <w:autoSpaceDN/>
              <w:bidi w:val="0"/>
              <w:adjustRightInd/>
              <w:snapToGrid/>
              <w:spacing w:line="440" w:lineRule="exact"/>
              <w:textAlignment w:val="center"/>
            </w:pPr>
          </w:p>
        </w:tc>
        <w:tc>
          <w:tcPr>
            <w:tcW w:w="6149" w:type="dxa"/>
            <w:tcBorders>
              <w:top w:val="single" w:color="auto" w:sz="4" w:space="0"/>
            </w:tcBorders>
            <w:shd w:val="clear" w:color="auto" w:fill="auto"/>
            <w:vAlign w:val="center"/>
          </w:tcPr>
          <w:p w14:paraId="21582506">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b/>
                <w:bCs/>
                <w:kern w:val="2"/>
                <w:sz w:val="24"/>
                <w:szCs w:val="24"/>
                <w:highlight w:val="yellow"/>
                <w:lang w:val="en-US" w:eastAsia="zh-CN" w:bidi="ar-SA"/>
                <w14:ligatures w14:val="none"/>
              </w:rPr>
            </w:pPr>
            <w:r>
              <w:rPr>
                <w:rFonts w:hint="eastAsia" w:ascii="仿宋" w:hAnsi="仿宋" w:eastAsia="仿宋" w:cs="仿宋"/>
                <w:kern w:val="2"/>
                <w:sz w:val="24"/>
                <w:szCs w:val="24"/>
                <w:highlight w:val="none"/>
                <w:lang w:val="zh-CN" w:eastAsia="zh-CN" w:bidi="ar-SA"/>
              </w:rPr>
              <w:t>评委就供应商提供的针对本项目各项服务工作的应急预案（包含应急预案成员、消防安全预案、停水停电停气应急预案、疫情防控应急预案、人员更替应急预案、食物中毒预案、突发其他应急预案）表述进行评审：方案表述完整且实施措施细致周密可行性强的得</w:t>
            </w:r>
            <w:r>
              <w:rPr>
                <w:rFonts w:hint="eastAsia" w:ascii="仿宋" w:hAnsi="仿宋" w:eastAsia="仿宋" w:cs="仿宋"/>
                <w:kern w:val="2"/>
                <w:sz w:val="24"/>
                <w:szCs w:val="24"/>
                <w:highlight w:val="none"/>
                <w:lang w:val="en-US" w:eastAsia="zh-CN" w:bidi="ar-SA"/>
              </w:rPr>
              <w:t>6</w:t>
            </w:r>
            <w:r>
              <w:rPr>
                <w:rFonts w:hint="eastAsia" w:ascii="仿宋" w:hAnsi="仿宋" w:eastAsia="仿宋" w:cs="仿宋"/>
                <w:kern w:val="2"/>
                <w:sz w:val="24"/>
                <w:szCs w:val="24"/>
                <w:highlight w:val="none"/>
                <w:lang w:val="zh-CN" w:eastAsia="zh-CN" w:bidi="ar-SA"/>
              </w:rPr>
              <w:t>分；方案表述完整有具体实施措的得</w:t>
            </w:r>
            <w:r>
              <w:rPr>
                <w:rFonts w:hint="eastAsia" w:ascii="仿宋" w:hAnsi="仿宋" w:eastAsia="仿宋" w:cs="仿宋"/>
                <w:kern w:val="2"/>
                <w:sz w:val="24"/>
                <w:szCs w:val="24"/>
                <w:highlight w:val="none"/>
                <w:lang w:val="en-US" w:eastAsia="zh-CN" w:bidi="ar-SA"/>
              </w:rPr>
              <w:t>4</w:t>
            </w:r>
            <w:r>
              <w:rPr>
                <w:rFonts w:hint="eastAsia" w:ascii="仿宋" w:hAnsi="仿宋" w:eastAsia="仿宋" w:cs="仿宋"/>
                <w:kern w:val="2"/>
                <w:sz w:val="24"/>
                <w:szCs w:val="24"/>
                <w:highlight w:val="none"/>
                <w:lang w:val="zh-CN" w:eastAsia="zh-CN" w:bidi="ar-SA"/>
              </w:rPr>
              <w:t>分；方案表述简单实施措施粗疏的得2分；不提供不得分。</w:t>
            </w:r>
          </w:p>
        </w:tc>
        <w:tc>
          <w:tcPr>
            <w:tcW w:w="919" w:type="dxa"/>
            <w:shd w:val="clear" w:color="auto" w:fill="auto"/>
            <w:vAlign w:val="center"/>
          </w:tcPr>
          <w:p w14:paraId="3834E5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kern w:val="2"/>
                <w:sz w:val="24"/>
                <w:szCs w:val="24"/>
                <w:highlight w:val="yellow"/>
                <w:lang w:val="en-US" w:eastAsia="zh-CN" w:bidi="ar-SA"/>
                <w14:ligatures w14:val="none"/>
              </w:rPr>
            </w:pPr>
            <w:r>
              <w:rPr>
                <w:rFonts w:hint="eastAsia" w:ascii="宋体" w:hAnsi="宋体" w:cs="宋体"/>
                <w:b/>
                <w:bCs/>
                <w:sz w:val="24"/>
                <w:szCs w:val="24"/>
                <w:lang w:val="en-US" w:eastAsia="zh-CN"/>
              </w:rPr>
              <w:t>6分</w:t>
            </w:r>
          </w:p>
        </w:tc>
      </w:tr>
      <w:tr w14:paraId="73751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1018" w:type="dxa"/>
            <w:vMerge w:val="continue"/>
            <w:vAlign w:val="center"/>
          </w:tcPr>
          <w:p w14:paraId="0C70059F">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b/>
                <w:bCs/>
                <w:kern w:val="2"/>
                <w:sz w:val="24"/>
                <w:szCs w:val="24"/>
                <w:highlight w:val="yellow"/>
                <w:lang w:val="en-US" w:eastAsia="zh-CN" w:bidi="ar-SA"/>
                <w14:ligatures w14:val="none"/>
              </w:rPr>
            </w:pPr>
          </w:p>
        </w:tc>
        <w:tc>
          <w:tcPr>
            <w:tcW w:w="1647" w:type="dxa"/>
            <w:vMerge w:val="continue"/>
            <w:shd w:val="clear" w:color="auto" w:fill="auto"/>
            <w:vAlign w:val="center"/>
          </w:tcPr>
          <w:p w14:paraId="1170F691">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b/>
                <w:bCs/>
                <w:kern w:val="2"/>
                <w:sz w:val="24"/>
                <w:szCs w:val="24"/>
                <w:highlight w:val="yellow"/>
                <w:lang w:val="en-US" w:eastAsia="zh-CN" w:bidi="ar-SA"/>
                <w14:ligatures w14:val="none"/>
              </w:rPr>
            </w:pPr>
          </w:p>
        </w:tc>
        <w:tc>
          <w:tcPr>
            <w:tcW w:w="6149" w:type="dxa"/>
            <w:tcBorders>
              <w:top w:val="single" w:color="auto" w:sz="4" w:space="0"/>
            </w:tcBorders>
            <w:shd w:val="clear" w:color="auto" w:fill="auto"/>
            <w:vAlign w:val="center"/>
          </w:tcPr>
          <w:p w14:paraId="65CB7975">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b/>
                <w:bCs/>
                <w:kern w:val="2"/>
                <w:sz w:val="24"/>
                <w:szCs w:val="24"/>
                <w:highlight w:val="yellow"/>
                <w:lang w:val="en-US" w:eastAsia="zh-CN" w:bidi="ar-SA"/>
                <w14:ligatures w14:val="none"/>
              </w:rPr>
            </w:pPr>
            <w:r>
              <w:rPr>
                <w:rFonts w:hint="eastAsia" w:ascii="仿宋" w:hAnsi="仿宋" w:eastAsia="仿宋" w:cs="仿宋"/>
                <w:kern w:val="2"/>
                <w:sz w:val="24"/>
                <w:szCs w:val="24"/>
                <w:highlight w:val="none"/>
                <w:lang w:val="zh-CN" w:eastAsia="zh-CN" w:bidi="ar-SA"/>
              </w:rPr>
              <w:t>评委根据供应商提供的针对本项目综合管理工作进行的分析，就项目中的食堂餐饮可能出现的管理服务重点、难点并制订对应措施的表述进行评审：方案表述完整且实施措施细致周密可行性强的得</w:t>
            </w:r>
            <w:r>
              <w:rPr>
                <w:rFonts w:hint="eastAsia" w:ascii="仿宋" w:hAnsi="仿宋" w:eastAsia="仿宋" w:cs="仿宋"/>
                <w:kern w:val="2"/>
                <w:sz w:val="24"/>
                <w:szCs w:val="24"/>
                <w:highlight w:val="none"/>
                <w:lang w:val="en-US" w:eastAsia="zh-CN" w:bidi="ar-SA"/>
              </w:rPr>
              <w:t>6</w:t>
            </w:r>
            <w:r>
              <w:rPr>
                <w:rFonts w:hint="eastAsia" w:ascii="仿宋" w:hAnsi="仿宋" w:eastAsia="仿宋" w:cs="仿宋"/>
                <w:kern w:val="2"/>
                <w:sz w:val="24"/>
                <w:szCs w:val="24"/>
                <w:highlight w:val="none"/>
                <w:lang w:val="zh-CN" w:eastAsia="zh-CN" w:bidi="ar-SA"/>
              </w:rPr>
              <w:t>分；方案表述完整有具体实施措的得</w:t>
            </w:r>
            <w:r>
              <w:rPr>
                <w:rFonts w:hint="eastAsia" w:ascii="仿宋" w:hAnsi="仿宋" w:eastAsia="仿宋" w:cs="仿宋"/>
                <w:kern w:val="2"/>
                <w:sz w:val="24"/>
                <w:szCs w:val="24"/>
                <w:highlight w:val="none"/>
                <w:lang w:val="en-US" w:eastAsia="zh-CN" w:bidi="ar-SA"/>
              </w:rPr>
              <w:t>4</w:t>
            </w:r>
            <w:r>
              <w:rPr>
                <w:rFonts w:hint="eastAsia" w:ascii="仿宋" w:hAnsi="仿宋" w:eastAsia="仿宋" w:cs="仿宋"/>
                <w:kern w:val="2"/>
                <w:sz w:val="24"/>
                <w:szCs w:val="24"/>
                <w:highlight w:val="none"/>
                <w:lang w:val="zh-CN" w:eastAsia="zh-CN" w:bidi="ar-SA"/>
              </w:rPr>
              <w:t>分；方案表述简单实施措施粗疏的得</w:t>
            </w:r>
            <w:r>
              <w:rPr>
                <w:rFonts w:hint="eastAsia" w:ascii="仿宋" w:hAnsi="仿宋" w:eastAsia="仿宋" w:cs="仿宋"/>
                <w:kern w:val="2"/>
                <w:sz w:val="24"/>
                <w:szCs w:val="24"/>
                <w:highlight w:val="none"/>
                <w:lang w:val="en-US" w:eastAsia="zh-CN" w:bidi="ar-SA"/>
              </w:rPr>
              <w:t>2</w:t>
            </w:r>
            <w:r>
              <w:rPr>
                <w:rFonts w:hint="eastAsia" w:ascii="仿宋" w:hAnsi="仿宋" w:eastAsia="仿宋" w:cs="仿宋"/>
                <w:kern w:val="2"/>
                <w:sz w:val="24"/>
                <w:szCs w:val="24"/>
                <w:highlight w:val="none"/>
                <w:lang w:val="zh-CN" w:eastAsia="zh-CN" w:bidi="ar-SA"/>
              </w:rPr>
              <w:t>分；不提供不得分。</w:t>
            </w:r>
          </w:p>
        </w:tc>
        <w:tc>
          <w:tcPr>
            <w:tcW w:w="919" w:type="dxa"/>
            <w:shd w:val="clear" w:color="auto" w:fill="auto"/>
            <w:vAlign w:val="center"/>
          </w:tcPr>
          <w:p w14:paraId="65CAD5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kern w:val="2"/>
                <w:sz w:val="24"/>
                <w:szCs w:val="24"/>
                <w:highlight w:val="yellow"/>
                <w:lang w:val="en-US" w:eastAsia="zh-CN" w:bidi="ar-SA"/>
                <w14:ligatures w14:val="none"/>
              </w:rPr>
            </w:pPr>
            <w:r>
              <w:rPr>
                <w:rFonts w:hint="eastAsia" w:ascii="宋体" w:hAnsi="宋体" w:cs="宋体"/>
                <w:b/>
                <w:bCs/>
                <w:sz w:val="24"/>
                <w:szCs w:val="24"/>
                <w:lang w:val="en-US" w:eastAsia="zh-CN"/>
              </w:rPr>
              <w:t>6分</w:t>
            </w:r>
          </w:p>
        </w:tc>
      </w:tr>
      <w:tr w14:paraId="6379C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6" w:hRule="atLeast"/>
        </w:trPr>
        <w:tc>
          <w:tcPr>
            <w:tcW w:w="1018" w:type="dxa"/>
            <w:vAlign w:val="center"/>
          </w:tcPr>
          <w:p w14:paraId="38811C70">
            <w:pPr>
              <w:keepNext w:val="0"/>
              <w:keepLines w:val="0"/>
              <w:pageBreakBefore w:val="0"/>
              <w:widowControl/>
              <w:numPr>
                <w:ilvl w:val="0"/>
                <w:numId w:val="0"/>
              </w:numPr>
              <w:kinsoku/>
              <w:wordWrap/>
              <w:overflowPunct/>
              <w:topLinePunct w:val="0"/>
              <w:autoSpaceDE/>
              <w:autoSpaceDN/>
              <w:bidi w:val="0"/>
              <w:adjustRightInd/>
              <w:snapToGrid/>
              <w:spacing w:line="440" w:lineRule="exact"/>
              <w:jc w:val="center"/>
              <w:textAlignment w:val="center"/>
              <w:rPr>
                <w:rFonts w:hint="default" w:ascii="仿宋" w:hAnsi="仿宋" w:eastAsia="仿宋" w:cs="仿宋"/>
                <w:color w:val="C00000"/>
                <w:sz w:val="24"/>
                <w:szCs w:val="24"/>
                <w:lang w:val="en-US" w:eastAsia="zh-CN"/>
              </w:rPr>
            </w:pPr>
            <w:r>
              <w:rPr>
                <w:rFonts w:hint="eastAsia" w:ascii="仿宋" w:hAnsi="仿宋" w:eastAsia="仿宋" w:cs="仿宋"/>
                <w:kern w:val="2"/>
                <w:sz w:val="24"/>
                <w:szCs w:val="24"/>
                <w:lang w:val="en-US" w:eastAsia="zh-CN" w:bidi="ar-SA"/>
              </w:rPr>
              <w:t>6</w:t>
            </w:r>
          </w:p>
        </w:tc>
        <w:tc>
          <w:tcPr>
            <w:tcW w:w="1647" w:type="dxa"/>
            <w:shd w:val="clear" w:color="auto" w:fill="auto"/>
            <w:vAlign w:val="center"/>
          </w:tcPr>
          <w:p w14:paraId="5F4B42C7">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zh-CN" w:eastAsia="zh-CN" w:bidi="ar-SA"/>
              </w:rPr>
            </w:pPr>
            <w:r>
              <w:rPr>
                <w:rFonts w:hint="eastAsia" w:ascii="仿宋" w:hAnsi="仿宋" w:eastAsia="仿宋" w:cs="仿宋"/>
                <w:kern w:val="2"/>
                <w:sz w:val="24"/>
                <w:szCs w:val="24"/>
                <w:lang w:val="en-US" w:eastAsia="zh-CN" w:bidi="ar-SA"/>
              </w:rPr>
              <w:t>价格分  （ 30 分）</w:t>
            </w:r>
          </w:p>
        </w:tc>
        <w:tc>
          <w:tcPr>
            <w:tcW w:w="6149" w:type="dxa"/>
            <w:shd w:val="clear" w:color="auto" w:fill="auto"/>
            <w:vAlign w:val="center"/>
          </w:tcPr>
          <w:p w14:paraId="16474439">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价格分统一采用低价优先法计算，即满足磋商文件要求且最后报价最低的供应商的价格为磋商基准价，其价格分为满分。其他供应商的价格分统一按照下列公式计算：</w:t>
            </w:r>
          </w:p>
          <w:p w14:paraId="1F7B0E8F">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磋商报价得分=（磋商基准价/最后磋商报价）×价格权值×100</w:t>
            </w:r>
          </w:p>
          <w:p w14:paraId="422CC9F6">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注：计算过程及结果均采用“四舍五入”法并保留小数点后2位数。</w:t>
            </w:r>
          </w:p>
        </w:tc>
        <w:tc>
          <w:tcPr>
            <w:tcW w:w="919" w:type="dxa"/>
            <w:shd w:val="clear" w:color="auto" w:fill="auto"/>
            <w:vAlign w:val="center"/>
          </w:tcPr>
          <w:p w14:paraId="7671130C">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w:t>
            </w:r>
            <w:r>
              <w:rPr>
                <w:rFonts w:hint="eastAsia" w:ascii="仿宋" w:hAnsi="仿宋" w:eastAsia="仿宋" w:cs="仿宋"/>
                <w:b/>
                <w:bCs/>
                <w:kern w:val="2"/>
                <w:sz w:val="24"/>
                <w:szCs w:val="24"/>
                <w:lang w:val="en-US" w:eastAsia="zh-CN" w:bidi="ar-SA"/>
              </w:rPr>
              <w:t>30分</w:t>
            </w:r>
          </w:p>
        </w:tc>
      </w:tr>
      <w:tr w14:paraId="56810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8814" w:type="dxa"/>
            <w:gridSpan w:val="3"/>
            <w:vAlign w:val="center"/>
          </w:tcPr>
          <w:p w14:paraId="280799A2">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合计</w:t>
            </w:r>
          </w:p>
        </w:tc>
        <w:tc>
          <w:tcPr>
            <w:tcW w:w="919" w:type="dxa"/>
            <w:vAlign w:val="center"/>
          </w:tcPr>
          <w:p w14:paraId="0B8AE730">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100</w:t>
            </w:r>
            <w:r>
              <w:rPr>
                <w:rFonts w:hint="eastAsia" w:ascii="仿宋" w:hAnsi="仿宋" w:eastAsia="仿宋" w:cs="仿宋"/>
                <w:b/>
                <w:bCs/>
                <w:color w:val="auto"/>
                <w:sz w:val="24"/>
                <w:szCs w:val="24"/>
                <w:lang w:val="en-US" w:eastAsia="zh-CN"/>
              </w:rPr>
              <w:t>分</w:t>
            </w:r>
          </w:p>
        </w:tc>
      </w:tr>
    </w:tbl>
    <w:p w14:paraId="00A72B44">
      <w:pPr>
        <w:rPr>
          <w:rFonts w:hint="eastAsia"/>
        </w:rPr>
      </w:pPr>
    </w:p>
    <w:p w14:paraId="42BBF40D">
      <w:pPr>
        <w:bidi w:val="0"/>
        <w:rPr>
          <w:rFonts w:hint="eastAsia"/>
        </w:rPr>
      </w:pPr>
    </w:p>
    <w:p w14:paraId="34B10B65">
      <w:pPr>
        <w:bidi w:val="0"/>
        <w:rPr>
          <w:rFonts w:hint="eastAsia"/>
        </w:rPr>
      </w:pPr>
    </w:p>
    <w:p w14:paraId="3CBDE563">
      <w:pPr>
        <w:bidi w:val="0"/>
        <w:rPr>
          <w:rFonts w:hint="eastAsia"/>
        </w:rPr>
      </w:pPr>
    </w:p>
    <w:p w14:paraId="36D5CAC9">
      <w:pPr>
        <w:bidi w:val="0"/>
        <w:rPr>
          <w:rFonts w:hint="eastAsia"/>
        </w:rPr>
      </w:pPr>
    </w:p>
    <w:p w14:paraId="1F855462">
      <w:pPr>
        <w:bidi w:val="0"/>
        <w:rPr>
          <w:rFonts w:hint="eastAsia"/>
        </w:rPr>
      </w:pPr>
    </w:p>
    <w:p w14:paraId="74FA54B1">
      <w:pPr>
        <w:bidi w:val="0"/>
        <w:rPr>
          <w:rFonts w:hint="eastAsia"/>
        </w:rPr>
      </w:pPr>
    </w:p>
    <w:p w14:paraId="6E7CB7A2">
      <w:pPr>
        <w:keepNext w:val="0"/>
        <w:keepLines w:val="0"/>
        <w:pageBreakBefore w:val="0"/>
        <w:widowControl w:val="0"/>
        <w:kinsoku/>
        <w:wordWrap/>
        <w:overflowPunct/>
        <w:topLinePunct w:val="0"/>
        <w:autoSpaceDE/>
        <w:autoSpaceDN/>
        <w:bidi w:val="0"/>
        <w:adjustRightInd/>
        <w:snapToGrid/>
        <w:jc w:val="both"/>
        <w:textAlignment w:val="auto"/>
        <w:outlineLvl w:val="0"/>
        <w:rPr>
          <w:rFonts w:hint="eastAsia" w:ascii="仿宋" w:hAnsi="仿宋" w:eastAsia="仿宋" w:cs="仿宋"/>
          <w:b/>
          <w:bCs w:val="0"/>
          <w:sz w:val="44"/>
          <w:szCs w:val="28"/>
        </w:rPr>
      </w:pPr>
      <w:bookmarkStart w:id="225" w:name="_GoBack"/>
      <w:bookmarkEnd w:id="225"/>
      <w:bookmarkStart w:id="210" w:name="_Toc29207"/>
      <w:bookmarkStart w:id="211" w:name="_Toc2753"/>
      <w:bookmarkStart w:id="212" w:name="_Toc806"/>
    </w:p>
    <w:p w14:paraId="64FBA8DB">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val="0"/>
          <w:sz w:val="44"/>
          <w:szCs w:val="28"/>
        </w:rPr>
      </w:pPr>
    </w:p>
    <w:p w14:paraId="642C4661">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val="0"/>
          <w:sz w:val="44"/>
          <w:szCs w:val="28"/>
        </w:rPr>
      </w:pPr>
      <w:r>
        <w:rPr>
          <w:rFonts w:hint="eastAsia" w:ascii="仿宋" w:hAnsi="仿宋" w:eastAsia="仿宋" w:cs="仿宋"/>
          <w:b/>
          <w:bCs w:val="0"/>
          <w:sz w:val="44"/>
          <w:szCs w:val="28"/>
        </w:rPr>
        <w:t xml:space="preserve">第六章  </w:t>
      </w:r>
      <w:bookmarkEnd w:id="199"/>
      <w:bookmarkEnd w:id="200"/>
      <w:bookmarkEnd w:id="205"/>
      <w:r>
        <w:rPr>
          <w:rFonts w:hint="eastAsia" w:ascii="仿宋" w:hAnsi="仿宋" w:eastAsia="仿宋" w:cs="仿宋"/>
          <w:b/>
          <w:bCs w:val="0"/>
          <w:sz w:val="44"/>
          <w:szCs w:val="28"/>
        </w:rPr>
        <w:t>响应文件格式</w:t>
      </w:r>
      <w:bookmarkEnd w:id="210"/>
      <w:bookmarkEnd w:id="211"/>
      <w:bookmarkEnd w:id="212"/>
      <w:r>
        <w:rPr>
          <w:rFonts w:hint="eastAsia" w:ascii="仿宋" w:hAnsi="仿宋" w:eastAsia="仿宋" w:cs="仿宋"/>
          <w:b/>
          <w:bCs w:val="0"/>
          <w:sz w:val="44"/>
          <w:szCs w:val="28"/>
        </w:rPr>
        <w:t xml:space="preserve"> </w:t>
      </w:r>
    </w:p>
    <w:p w14:paraId="656F9006">
      <w:pPr>
        <w:jc w:val="center"/>
        <w:rPr>
          <w:rFonts w:hint="eastAsia" w:ascii="仿宋" w:hAnsi="仿宋" w:eastAsia="仿宋" w:cs="仿宋"/>
          <w:b/>
          <w:sz w:val="72"/>
          <w:szCs w:val="21"/>
        </w:rPr>
      </w:pPr>
      <w:bookmarkStart w:id="213" w:name="_Hlt26671244"/>
      <w:bookmarkEnd w:id="213"/>
      <w:bookmarkStart w:id="214" w:name="_Hlt26955039"/>
      <w:bookmarkEnd w:id="214"/>
      <w:bookmarkStart w:id="215" w:name="_Toc49090576"/>
      <w:bookmarkStart w:id="216" w:name="_Toc26554094"/>
      <w:bookmarkStart w:id="217" w:name="_Toc120614282"/>
    </w:p>
    <w:p w14:paraId="4EEB1CC8">
      <w:pPr>
        <w:jc w:val="center"/>
        <w:rPr>
          <w:rFonts w:hint="eastAsia" w:ascii="仿宋" w:hAnsi="仿宋" w:eastAsia="仿宋" w:cs="仿宋"/>
          <w:b/>
          <w:sz w:val="72"/>
          <w:szCs w:val="21"/>
        </w:rPr>
      </w:pPr>
      <w:r>
        <w:rPr>
          <w:rFonts w:hint="eastAsia" w:ascii="仿宋" w:hAnsi="仿宋" w:eastAsia="仿宋" w:cs="仿宋"/>
          <w:b/>
          <w:sz w:val="72"/>
          <w:szCs w:val="21"/>
        </w:rPr>
        <w:t>响  应  文  件</w:t>
      </w:r>
    </w:p>
    <w:p w14:paraId="1F53158D">
      <w:pPr>
        <w:jc w:val="center"/>
        <w:rPr>
          <w:rFonts w:hint="eastAsia" w:ascii="仿宋" w:hAnsi="仿宋" w:eastAsia="仿宋" w:cs="仿宋"/>
          <w:b/>
          <w:sz w:val="72"/>
          <w:szCs w:val="21"/>
        </w:rPr>
      </w:pPr>
    </w:p>
    <w:p w14:paraId="1E8B0003">
      <w:pPr>
        <w:jc w:val="center"/>
        <w:rPr>
          <w:rFonts w:hint="eastAsia" w:ascii="仿宋" w:hAnsi="仿宋" w:eastAsia="仿宋" w:cs="仿宋"/>
          <w:b/>
          <w:sz w:val="72"/>
          <w:szCs w:val="21"/>
        </w:rPr>
      </w:pPr>
    </w:p>
    <w:p w14:paraId="68DD6419">
      <w:pPr>
        <w:jc w:val="center"/>
        <w:rPr>
          <w:rFonts w:hint="eastAsia" w:ascii="仿宋" w:hAnsi="仿宋" w:eastAsia="仿宋" w:cs="仿宋"/>
          <w:b/>
          <w:sz w:val="36"/>
          <w:szCs w:val="21"/>
        </w:rPr>
      </w:pPr>
    </w:p>
    <w:p w14:paraId="49233283">
      <w:pPr>
        <w:jc w:val="center"/>
        <w:rPr>
          <w:rFonts w:hint="eastAsia" w:ascii="仿宋" w:hAnsi="仿宋" w:eastAsia="仿宋" w:cs="仿宋"/>
          <w:b/>
          <w:sz w:val="36"/>
          <w:szCs w:val="21"/>
        </w:rPr>
      </w:pPr>
    </w:p>
    <w:p w14:paraId="437A4F9C">
      <w:pPr>
        <w:pStyle w:val="7"/>
        <w:rPr>
          <w:rFonts w:hint="eastAsia" w:ascii="仿宋" w:hAnsi="仿宋" w:eastAsia="仿宋" w:cs="仿宋"/>
          <w:b/>
          <w:sz w:val="36"/>
          <w:szCs w:val="21"/>
        </w:rPr>
      </w:pPr>
    </w:p>
    <w:p w14:paraId="43E90CB6">
      <w:pPr>
        <w:rPr>
          <w:rFonts w:hint="eastAsia" w:ascii="仿宋" w:hAnsi="仿宋" w:eastAsia="仿宋" w:cs="仿宋"/>
          <w:b/>
          <w:sz w:val="36"/>
          <w:szCs w:val="21"/>
        </w:rPr>
      </w:pPr>
    </w:p>
    <w:p w14:paraId="646E0B76">
      <w:pPr>
        <w:pStyle w:val="7"/>
        <w:rPr>
          <w:rFonts w:hint="eastAsia" w:ascii="仿宋" w:hAnsi="仿宋" w:eastAsia="仿宋" w:cs="仿宋"/>
          <w:b/>
          <w:sz w:val="36"/>
          <w:szCs w:val="21"/>
        </w:rPr>
      </w:pPr>
    </w:p>
    <w:p w14:paraId="009E53E2">
      <w:pPr>
        <w:rPr>
          <w:rFonts w:hint="eastAsia"/>
        </w:rPr>
      </w:pPr>
    </w:p>
    <w:p w14:paraId="7B2C85E7">
      <w:pPr>
        <w:jc w:val="center"/>
        <w:rPr>
          <w:rFonts w:hint="eastAsia" w:ascii="仿宋" w:hAnsi="仿宋" w:eastAsia="仿宋" w:cs="仿宋"/>
          <w:b/>
          <w:sz w:val="36"/>
          <w:szCs w:val="21"/>
        </w:rPr>
      </w:pPr>
    </w:p>
    <w:p w14:paraId="14075A8E">
      <w:pPr>
        <w:ind w:firstLine="1084" w:firstLineChars="300"/>
        <w:rPr>
          <w:rFonts w:hint="eastAsia"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3AD9C094">
      <w:pPr>
        <w:ind w:firstLine="1084" w:firstLineChars="300"/>
        <w:rPr>
          <w:rFonts w:hint="eastAsia"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4C2DC909">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45B1DA42">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09320AD4">
      <w:pPr>
        <w:spacing w:line="440" w:lineRule="exact"/>
        <w:jc w:val="center"/>
        <w:rPr>
          <w:rFonts w:hint="eastAsia" w:ascii="仿宋" w:hAnsi="仿宋" w:eastAsia="仿宋" w:cs="仿宋"/>
          <w:b/>
          <w:bCs/>
          <w:sz w:val="32"/>
          <w:szCs w:val="32"/>
        </w:rPr>
      </w:pPr>
    </w:p>
    <w:p w14:paraId="552A5B22">
      <w:pPr>
        <w:spacing w:line="440" w:lineRule="exact"/>
        <w:rPr>
          <w:rFonts w:hint="eastAsia" w:ascii="仿宋" w:hAnsi="仿宋" w:eastAsia="仿宋" w:cs="仿宋"/>
          <w:szCs w:val="21"/>
        </w:rPr>
      </w:pPr>
    </w:p>
    <w:p w14:paraId="3BD9520B">
      <w:pPr>
        <w:pStyle w:val="7"/>
        <w:rPr>
          <w:rFonts w:hint="eastAsia" w:ascii="仿宋" w:hAnsi="仿宋" w:eastAsia="仿宋" w:cs="仿宋"/>
          <w:szCs w:val="21"/>
        </w:rPr>
      </w:pPr>
    </w:p>
    <w:p w14:paraId="46A6A20A">
      <w:pPr>
        <w:rPr>
          <w:rFonts w:hint="eastAsia" w:ascii="仿宋" w:hAnsi="仿宋" w:eastAsia="仿宋" w:cs="仿宋"/>
          <w:szCs w:val="21"/>
        </w:rPr>
      </w:pPr>
    </w:p>
    <w:p w14:paraId="151A9F71">
      <w:pPr>
        <w:pStyle w:val="7"/>
        <w:rPr>
          <w:rFonts w:hint="eastAsia"/>
        </w:rPr>
      </w:pPr>
    </w:p>
    <w:p w14:paraId="31C8E3AB">
      <w:pPr>
        <w:ind w:firstLine="964" w:firstLineChars="300"/>
        <w:jc w:val="center"/>
        <w:rPr>
          <w:rFonts w:hint="eastAsia" w:ascii="仿宋" w:hAnsi="仿宋" w:eastAsia="仿宋" w:cs="仿宋"/>
          <w:b/>
          <w:bCs/>
          <w:color w:val="auto"/>
          <w:sz w:val="32"/>
          <w:szCs w:val="32"/>
        </w:rPr>
      </w:pPr>
    </w:p>
    <w:p w14:paraId="5300DC1F">
      <w:pPr>
        <w:ind w:firstLine="964" w:firstLineChars="300"/>
        <w:jc w:val="center"/>
        <w:rPr>
          <w:rFonts w:hint="eastAsia" w:ascii="仿宋" w:hAnsi="仿宋" w:eastAsia="仿宋" w:cs="仿宋"/>
          <w:b/>
          <w:bCs/>
          <w:color w:val="auto"/>
          <w:sz w:val="32"/>
          <w:szCs w:val="32"/>
        </w:rPr>
      </w:pPr>
    </w:p>
    <w:p w14:paraId="51AA3040">
      <w:pPr>
        <w:ind w:firstLine="964" w:firstLineChars="300"/>
        <w:jc w:val="center"/>
        <w:rPr>
          <w:rFonts w:hint="eastAsia" w:ascii="仿宋" w:hAnsi="仿宋" w:eastAsia="仿宋" w:cs="仿宋"/>
          <w:b/>
          <w:bCs/>
          <w:color w:val="auto"/>
          <w:sz w:val="32"/>
          <w:szCs w:val="32"/>
        </w:rPr>
      </w:pPr>
    </w:p>
    <w:p w14:paraId="5EFD8686">
      <w:pPr>
        <w:ind w:firstLine="964" w:firstLineChars="300"/>
        <w:jc w:val="center"/>
        <w:rPr>
          <w:rFonts w:hint="eastAsia" w:ascii="仿宋" w:hAnsi="仿宋" w:eastAsia="仿宋" w:cs="仿宋"/>
          <w:b/>
          <w:bCs/>
          <w:color w:val="auto"/>
          <w:sz w:val="32"/>
          <w:szCs w:val="32"/>
        </w:rPr>
      </w:pPr>
    </w:p>
    <w:p w14:paraId="1CDAC144">
      <w:pPr>
        <w:ind w:firstLine="964" w:firstLineChars="300"/>
        <w:jc w:val="center"/>
        <w:rPr>
          <w:rFonts w:hint="eastAsia" w:ascii="仿宋" w:hAnsi="仿宋" w:eastAsia="仿宋" w:cs="仿宋"/>
          <w:b/>
          <w:bCs/>
          <w:color w:val="auto"/>
          <w:sz w:val="32"/>
          <w:szCs w:val="32"/>
        </w:rPr>
      </w:pPr>
    </w:p>
    <w:p w14:paraId="7E9F6180">
      <w:pPr>
        <w:jc w:val="both"/>
        <w:rPr>
          <w:rFonts w:hint="eastAsia" w:ascii="仿宋" w:hAnsi="仿宋" w:eastAsia="仿宋" w:cs="仿宋"/>
          <w:b/>
          <w:bCs/>
          <w:color w:val="auto"/>
          <w:sz w:val="32"/>
          <w:szCs w:val="32"/>
        </w:rPr>
      </w:pPr>
    </w:p>
    <w:p w14:paraId="22B66758">
      <w:pPr>
        <w:ind w:firstLine="964" w:firstLineChars="300"/>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响应文件的组成</w:t>
      </w:r>
    </w:p>
    <w:p w14:paraId="22C8C25B">
      <w:pPr>
        <w:spacing w:line="440" w:lineRule="exact"/>
        <w:jc w:val="center"/>
        <w:rPr>
          <w:rFonts w:hint="eastAsia" w:ascii="仿宋" w:hAnsi="仿宋" w:eastAsia="仿宋" w:cs="仿宋"/>
          <w:b/>
          <w:bCs/>
          <w:color w:val="auto"/>
          <w:sz w:val="32"/>
          <w:szCs w:val="32"/>
        </w:rPr>
      </w:pPr>
    </w:p>
    <w:p w14:paraId="470C7B47">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rPr>
        <w:t>一、基本目录</w:t>
      </w:r>
    </w:p>
    <w:p w14:paraId="39ACAC62">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w:t>
      </w:r>
      <w:r>
        <w:rPr>
          <w:rFonts w:hint="eastAsia" w:ascii="仿宋" w:hAnsi="仿宋" w:eastAsia="仿宋" w:cs="仿宋"/>
          <w:color w:val="auto"/>
          <w:sz w:val="24"/>
          <w:szCs w:val="21"/>
          <w:lang w:eastAsia="zh-CN"/>
        </w:rPr>
        <w:t>磋商报价表</w:t>
      </w:r>
    </w:p>
    <w:p w14:paraId="5824CC0E">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分项报价表（格式见附件1）</w:t>
      </w:r>
    </w:p>
    <w:p w14:paraId="10CCEC01">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rPr>
        <w:t>二、资格审查内容</w:t>
      </w:r>
    </w:p>
    <w:p w14:paraId="7F0A4879">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1.投标人符合《中华人民共和国政府采购法》第二十二条规定条件的声明函</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zh-CN"/>
        </w:rPr>
        <w:t>格式见附件</w:t>
      </w: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42F9ABA6">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.特定资格要求的证明文件（如果本项目对供应商做出特定资格要求的，必须提供）</w:t>
      </w:r>
      <w:r>
        <w:rPr>
          <w:rFonts w:hint="eastAsia" w:ascii="仿宋" w:hAnsi="仿宋" w:eastAsia="仿宋" w:cs="仿宋"/>
          <w:color w:val="auto"/>
          <w:sz w:val="24"/>
          <w:szCs w:val="21"/>
          <w:lang w:eastAsia="zh-CN"/>
        </w:rPr>
        <w:t>；</w:t>
      </w:r>
    </w:p>
    <w:p w14:paraId="625F4417">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法定代表人身份证明（格式见附件</w:t>
      </w: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zh-CN"/>
        </w:rPr>
        <w:t>法定代表人的身份</w:t>
      </w:r>
      <w:r>
        <w:rPr>
          <w:rFonts w:hint="eastAsia" w:ascii="仿宋" w:hAnsi="仿宋" w:eastAsia="仿宋" w:cs="仿宋"/>
          <w:color w:val="auto"/>
          <w:sz w:val="24"/>
          <w:szCs w:val="21"/>
          <w:lang w:val="en-US" w:eastAsia="zh-CN"/>
        </w:rPr>
        <w:t>证扫描件；</w:t>
      </w:r>
    </w:p>
    <w:p w14:paraId="7C7DAE5F">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4.</w:t>
      </w:r>
      <w:r>
        <w:rPr>
          <w:rFonts w:hint="eastAsia" w:ascii="仿宋" w:hAnsi="仿宋" w:eastAsia="仿宋" w:cs="仿宋"/>
          <w:color w:val="auto"/>
          <w:sz w:val="24"/>
          <w:szCs w:val="21"/>
        </w:rPr>
        <w:t>法人授权书（格式见附件</w:t>
      </w:r>
      <w:r>
        <w:rPr>
          <w:rFonts w:hint="eastAsia" w:ascii="仿宋" w:hAnsi="仿宋" w:eastAsia="仿宋" w:cs="仿宋"/>
          <w:color w:val="auto"/>
          <w:sz w:val="24"/>
          <w:szCs w:val="21"/>
          <w:lang w:val="en-US" w:eastAsia="zh-CN"/>
        </w:rPr>
        <w:t>4</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en-US" w:eastAsia="zh-CN"/>
        </w:rPr>
        <w:t>被授权</w:t>
      </w:r>
      <w:r>
        <w:rPr>
          <w:rFonts w:hint="eastAsia" w:ascii="仿宋" w:hAnsi="仿宋" w:eastAsia="仿宋" w:cs="仿宋"/>
          <w:color w:val="auto"/>
          <w:sz w:val="24"/>
          <w:szCs w:val="21"/>
          <w:lang w:val="zh-CN"/>
        </w:rPr>
        <w:t>人身份证</w:t>
      </w:r>
      <w:r>
        <w:rPr>
          <w:rFonts w:hint="eastAsia" w:ascii="仿宋" w:hAnsi="仿宋" w:eastAsia="仿宋" w:cs="仿宋"/>
          <w:color w:val="auto"/>
          <w:sz w:val="24"/>
          <w:szCs w:val="21"/>
          <w:lang w:val="en-US" w:eastAsia="zh-CN"/>
        </w:rPr>
        <w:t>扫描件；</w:t>
      </w:r>
    </w:p>
    <w:p w14:paraId="51DFAA8D">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5</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磋商</w:t>
      </w:r>
      <w:r>
        <w:rPr>
          <w:rFonts w:hint="eastAsia" w:ascii="仿宋" w:hAnsi="仿宋" w:eastAsia="仿宋" w:cs="仿宋"/>
          <w:color w:val="auto"/>
          <w:sz w:val="24"/>
          <w:szCs w:val="21"/>
        </w:rPr>
        <w:t>响应函（格式见附件</w:t>
      </w:r>
      <w:r>
        <w:rPr>
          <w:rFonts w:hint="eastAsia" w:ascii="仿宋" w:hAnsi="仿宋" w:eastAsia="仿宋" w:cs="仿宋"/>
          <w:color w:val="auto"/>
          <w:sz w:val="24"/>
          <w:szCs w:val="21"/>
          <w:lang w:val="en-US" w:eastAsia="zh-CN"/>
        </w:rPr>
        <w:t>5</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454AA23F">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6</w:t>
      </w:r>
      <w:r>
        <w:rPr>
          <w:rFonts w:hint="eastAsia" w:ascii="仿宋" w:hAnsi="仿宋" w:eastAsia="仿宋" w:cs="仿宋"/>
          <w:color w:val="auto"/>
          <w:sz w:val="24"/>
          <w:szCs w:val="21"/>
        </w:rPr>
        <w:t>.中小企业声明函（如果</w:t>
      </w:r>
      <w:r>
        <w:rPr>
          <w:rFonts w:hint="eastAsia" w:ascii="仿宋" w:hAnsi="仿宋" w:eastAsia="仿宋" w:cs="仿宋"/>
          <w:b/>
          <w:bCs/>
          <w:color w:val="auto"/>
          <w:sz w:val="24"/>
          <w:szCs w:val="21"/>
        </w:rPr>
        <w:t>本项目专门面向中小微型企业采购</w:t>
      </w:r>
      <w:r>
        <w:rPr>
          <w:rFonts w:hint="eastAsia" w:ascii="仿宋" w:hAnsi="仿宋" w:eastAsia="仿宋" w:cs="仿宋"/>
          <w:color w:val="auto"/>
          <w:sz w:val="24"/>
          <w:szCs w:val="21"/>
        </w:rPr>
        <w:t>，则必须提供。格式见附件</w:t>
      </w:r>
      <w:r>
        <w:rPr>
          <w:rFonts w:hint="eastAsia" w:ascii="仿宋" w:hAnsi="仿宋" w:eastAsia="仿宋" w:cs="仿宋"/>
          <w:color w:val="auto"/>
          <w:sz w:val="24"/>
          <w:szCs w:val="21"/>
          <w:lang w:val="en-US" w:eastAsia="zh-CN"/>
        </w:rPr>
        <w:t>6</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02839B0B">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7</w:t>
      </w:r>
      <w:r>
        <w:rPr>
          <w:rFonts w:hint="eastAsia" w:ascii="仿宋" w:hAnsi="仿宋" w:eastAsia="仿宋" w:cs="仿宋"/>
          <w:color w:val="auto"/>
          <w:sz w:val="24"/>
          <w:szCs w:val="21"/>
        </w:rPr>
        <w:t>.残疾人福利性单位声明函（如果本项目专门面向中小微型企业采购，供应商为残疾人福利性单位并提供本单位制造的货物，或者提供其他残疾人福利性单位制造的货物，则必须提供。格式见附件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auto"/>
          <w:sz w:val="24"/>
          <w:szCs w:val="21"/>
          <w:lang w:val="en-US" w:eastAsia="zh-CN"/>
        </w:rPr>
        <w:t>7</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74E9FF08">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8.监狱和戒毒企业证明材料</w:t>
      </w:r>
      <w:r>
        <w:rPr>
          <w:rFonts w:hint="eastAsia" w:ascii="仿宋" w:hAnsi="仿宋" w:eastAsia="仿宋" w:cs="仿宋"/>
          <w:color w:val="auto"/>
          <w:sz w:val="24"/>
          <w:szCs w:val="21"/>
          <w:lang w:val="zh-CN"/>
        </w:rPr>
        <w:t>（</w:t>
      </w:r>
      <w:r>
        <w:rPr>
          <w:rFonts w:hint="eastAsia" w:ascii="仿宋" w:hAnsi="仿宋" w:eastAsia="仿宋" w:cs="仿宋"/>
          <w:color w:val="auto"/>
          <w:sz w:val="24"/>
          <w:szCs w:val="21"/>
        </w:rPr>
        <w:t>如果本项目专门面向中小微型企业采购，供应商为</w:t>
      </w:r>
      <w:r>
        <w:rPr>
          <w:rFonts w:hint="eastAsia" w:ascii="仿宋" w:hAnsi="仿宋" w:eastAsia="仿宋" w:cs="仿宋"/>
          <w:color w:val="auto"/>
          <w:sz w:val="24"/>
          <w:szCs w:val="21"/>
          <w:lang w:val="en-US" w:eastAsia="zh-CN"/>
        </w:rPr>
        <w:t>监狱和戒毒企业的</w:t>
      </w:r>
      <w:r>
        <w:rPr>
          <w:rFonts w:hint="eastAsia" w:ascii="仿宋" w:hAnsi="仿宋" w:eastAsia="仿宋" w:cs="仿宋"/>
          <w:color w:val="auto"/>
          <w:sz w:val="24"/>
          <w:szCs w:val="21"/>
        </w:rPr>
        <w:t>，则必须提供。格式见附件</w:t>
      </w:r>
      <w:r>
        <w:rPr>
          <w:rFonts w:hint="eastAsia" w:ascii="仿宋" w:hAnsi="仿宋" w:eastAsia="仿宋" w:cs="仿宋"/>
          <w:color w:val="auto"/>
          <w:sz w:val="24"/>
          <w:szCs w:val="21"/>
          <w:lang w:val="en-US" w:eastAsia="zh-CN"/>
        </w:rPr>
        <w:t>8</w:t>
      </w:r>
      <w:r>
        <w:rPr>
          <w:rFonts w:hint="eastAsia" w:ascii="仿宋" w:hAnsi="仿宋" w:eastAsia="仿宋" w:cs="仿宋"/>
          <w:color w:val="auto"/>
          <w:sz w:val="24"/>
          <w:szCs w:val="21"/>
          <w:lang w:eastAsia="zh-CN"/>
        </w:rPr>
        <w:t>）；</w:t>
      </w:r>
    </w:p>
    <w:p w14:paraId="5A227565">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9.</w:t>
      </w:r>
      <w:r>
        <w:rPr>
          <w:rFonts w:hint="eastAsia" w:ascii="仿宋" w:hAnsi="仿宋" w:eastAsia="仿宋" w:cs="仿宋"/>
          <w:color w:val="auto"/>
          <w:sz w:val="24"/>
          <w:szCs w:val="21"/>
          <w:lang w:val="zh-CN"/>
        </w:rPr>
        <w:t>其它需要提交的资格审查证明材料。</w:t>
      </w:r>
    </w:p>
    <w:p w14:paraId="6C855BEC">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rPr>
        <w:t>三、符合性审查内容</w:t>
      </w:r>
    </w:p>
    <w:p w14:paraId="736E73A5">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1</w:t>
      </w:r>
      <w:r>
        <w:rPr>
          <w:rFonts w:hint="eastAsia" w:ascii="仿宋" w:hAnsi="仿宋" w:eastAsia="仿宋" w:cs="仿宋"/>
          <w:color w:val="auto"/>
          <w:sz w:val="24"/>
          <w:szCs w:val="21"/>
        </w:rPr>
        <w:t>.技术</w:t>
      </w:r>
      <w:r>
        <w:rPr>
          <w:rFonts w:hint="eastAsia" w:ascii="仿宋" w:hAnsi="仿宋" w:eastAsia="仿宋" w:cs="仿宋"/>
          <w:color w:val="auto"/>
          <w:sz w:val="24"/>
          <w:szCs w:val="21"/>
          <w:lang w:eastAsia="zh-CN"/>
        </w:rPr>
        <w:t>要求响应及</w:t>
      </w:r>
      <w:r>
        <w:rPr>
          <w:rFonts w:hint="eastAsia" w:ascii="仿宋" w:hAnsi="仿宋" w:eastAsia="仿宋" w:cs="仿宋"/>
          <w:color w:val="auto"/>
          <w:sz w:val="24"/>
          <w:szCs w:val="21"/>
        </w:rPr>
        <w:t>偏离表（格式见附件</w:t>
      </w:r>
      <w:r>
        <w:rPr>
          <w:rFonts w:hint="eastAsia" w:ascii="仿宋" w:hAnsi="仿宋" w:eastAsia="仿宋" w:cs="仿宋"/>
          <w:color w:val="auto"/>
          <w:sz w:val="24"/>
          <w:szCs w:val="21"/>
          <w:lang w:val="en-US" w:eastAsia="zh-CN"/>
        </w:rPr>
        <w:t>9</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1F152A2D">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.商务</w:t>
      </w:r>
      <w:r>
        <w:rPr>
          <w:rFonts w:hint="eastAsia" w:ascii="仿宋" w:hAnsi="仿宋" w:eastAsia="仿宋" w:cs="仿宋"/>
          <w:color w:val="auto"/>
          <w:sz w:val="24"/>
          <w:szCs w:val="21"/>
          <w:lang w:eastAsia="zh-CN"/>
        </w:rPr>
        <w:t>要求响应及</w:t>
      </w:r>
      <w:r>
        <w:rPr>
          <w:rFonts w:hint="eastAsia" w:ascii="仿宋" w:hAnsi="仿宋" w:eastAsia="仿宋" w:cs="仿宋"/>
          <w:color w:val="auto"/>
          <w:sz w:val="24"/>
          <w:szCs w:val="21"/>
        </w:rPr>
        <w:t>偏离表（格式见附件</w:t>
      </w:r>
      <w:r>
        <w:rPr>
          <w:rFonts w:hint="eastAsia" w:ascii="仿宋" w:hAnsi="仿宋" w:eastAsia="仿宋" w:cs="仿宋"/>
          <w:color w:val="auto"/>
          <w:sz w:val="24"/>
          <w:szCs w:val="21"/>
          <w:lang w:val="en-US" w:eastAsia="zh-CN"/>
        </w:rPr>
        <w:t>10</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251115B3">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实质性要求响应及偏离表（格式见附件1</w:t>
      </w:r>
      <w:r>
        <w:rPr>
          <w:rFonts w:hint="eastAsia" w:ascii="仿宋" w:hAnsi="仿宋" w:eastAsia="仿宋" w:cs="仿宋"/>
          <w:color w:val="auto"/>
          <w:sz w:val="24"/>
          <w:szCs w:val="21"/>
          <w:lang w:val="en-US" w:eastAsia="zh-CN"/>
        </w:rPr>
        <w:t>1</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b/>
          <w:bCs/>
          <w:color w:val="auto"/>
          <w:sz w:val="24"/>
          <w:szCs w:val="21"/>
        </w:rPr>
        <w:t>供应商必须对技术要求和商务要求中加斜体下划线的实质性要求做出响应，并按照磋商文件要求提供证明材料，否则做无效响应处理。</w:t>
      </w:r>
    </w:p>
    <w:p w14:paraId="001AD905">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default" w:ascii="仿宋" w:hAnsi="仿宋" w:eastAsia="仿宋" w:cs="仿宋"/>
          <w:color w:val="auto"/>
          <w:sz w:val="24"/>
          <w:szCs w:val="21"/>
          <w:lang w:val="en-US" w:eastAsia="zh-CN"/>
        </w:rPr>
      </w:pPr>
      <w:r>
        <w:rPr>
          <w:rFonts w:hint="eastAsia" w:ascii="仿宋" w:hAnsi="仿宋" w:eastAsia="仿宋" w:cs="仿宋"/>
          <w:b/>
          <w:bCs/>
          <w:color w:val="auto"/>
          <w:sz w:val="24"/>
          <w:szCs w:val="21"/>
          <w:lang w:val="en-US" w:eastAsia="zh-CN"/>
        </w:rPr>
        <w:t>四、</w:t>
      </w:r>
      <w:r>
        <w:rPr>
          <w:rFonts w:hint="eastAsia" w:ascii="仿宋" w:hAnsi="仿宋" w:eastAsia="仿宋" w:cs="仿宋"/>
          <w:b/>
          <w:bCs/>
          <w:color w:val="auto"/>
          <w:sz w:val="24"/>
          <w:szCs w:val="21"/>
          <w:lang w:val="zh-CN" w:eastAsia="zh-CN"/>
        </w:rPr>
        <w:t>商务技术</w:t>
      </w:r>
      <w:r>
        <w:rPr>
          <w:rFonts w:hint="eastAsia" w:ascii="仿宋" w:hAnsi="仿宋" w:eastAsia="仿宋" w:cs="仿宋"/>
          <w:b/>
          <w:bCs/>
          <w:color w:val="auto"/>
          <w:sz w:val="24"/>
          <w:szCs w:val="21"/>
          <w:lang w:val="en-US" w:eastAsia="zh-CN"/>
        </w:rPr>
        <w:t>分</w:t>
      </w:r>
      <w:r>
        <w:rPr>
          <w:rFonts w:hint="eastAsia" w:ascii="仿宋" w:hAnsi="仿宋" w:eastAsia="仿宋" w:cs="仿宋"/>
          <w:b/>
          <w:bCs/>
          <w:color w:val="auto"/>
          <w:sz w:val="24"/>
          <w:szCs w:val="21"/>
          <w:lang w:val="zh-CN" w:eastAsia="zh-CN"/>
        </w:rPr>
        <w:t>内</w:t>
      </w:r>
      <w:r>
        <w:rPr>
          <w:rFonts w:hint="eastAsia" w:ascii="仿宋" w:hAnsi="仿宋" w:eastAsia="仿宋" w:cs="仿宋"/>
          <w:b/>
          <w:bCs/>
          <w:color w:val="auto"/>
          <w:sz w:val="24"/>
          <w:szCs w:val="21"/>
          <w:lang w:eastAsia="zh-CN"/>
        </w:rPr>
        <w:t>容</w:t>
      </w:r>
      <w:r>
        <w:rPr>
          <w:rFonts w:hint="eastAsia" w:ascii="仿宋" w:hAnsi="仿宋" w:eastAsia="仿宋" w:cs="仿宋"/>
          <w:color w:val="auto"/>
          <w:sz w:val="24"/>
          <w:szCs w:val="21"/>
          <w:lang w:val="en-US" w:eastAsia="zh-CN"/>
        </w:rPr>
        <w:t xml:space="preserve"> </w:t>
      </w:r>
    </w:p>
    <w:p w14:paraId="091F1804">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1.</w:t>
      </w:r>
      <w:r>
        <w:rPr>
          <w:rFonts w:hint="eastAsia" w:ascii="仿宋" w:hAnsi="仿宋" w:eastAsia="仿宋" w:cs="仿宋"/>
          <w:color w:val="auto"/>
          <w:sz w:val="24"/>
          <w:szCs w:val="21"/>
          <w:lang w:val="zh-CN" w:eastAsia="zh-CN"/>
        </w:rPr>
        <w:t>商务技术评分标准中须提供的相关得分佐证材料；</w:t>
      </w:r>
    </w:p>
    <w:p w14:paraId="39B87C72">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lang w:val="zh-CN" w:eastAsia="zh-CN"/>
        </w:rPr>
        <w:t>供应商认为需要提交的其他商务技术材料。</w:t>
      </w:r>
    </w:p>
    <w:p w14:paraId="06F2066B">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lang w:eastAsia="zh-CN"/>
        </w:rPr>
        <w:t>五</w:t>
      </w:r>
      <w:r>
        <w:rPr>
          <w:rFonts w:hint="eastAsia" w:ascii="仿宋" w:hAnsi="仿宋" w:eastAsia="仿宋" w:cs="仿宋"/>
          <w:b/>
          <w:bCs/>
          <w:color w:val="auto"/>
          <w:sz w:val="24"/>
          <w:szCs w:val="21"/>
        </w:rPr>
        <w:t>、价格扣除</w:t>
      </w:r>
      <w:r>
        <w:rPr>
          <w:rFonts w:hint="eastAsia" w:ascii="仿宋" w:hAnsi="仿宋" w:eastAsia="仿宋" w:cs="仿宋"/>
          <w:b/>
          <w:bCs/>
          <w:color w:val="auto"/>
          <w:sz w:val="24"/>
          <w:szCs w:val="21"/>
          <w:lang w:val="zh-CN" w:eastAsia="zh-CN"/>
        </w:rPr>
        <w:t>证明</w:t>
      </w:r>
      <w:r>
        <w:rPr>
          <w:rFonts w:hint="eastAsia" w:ascii="仿宋" w:hAnsi="仿宋" w:eastAsia="仿宋" w:cs="仿宋"/>
          <w:b/>
          <w:bCs/>
          <w:color w:val="auto"/>
          <w:sz w:val="24"/>
          <w:szCs w:val="21"/>
        </w:rPr>
        <w:t>文件</w:t>
      </w:r>
    </w:p>
    <w:p w14:paraId="6D7FBF68">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1.中小企业声明函（格式见附件6）；</w:t>
      </w:r>
    </w:p>
    <w:p w14:paraId="7E766276">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2.残疾人福利性单位声明函（格式见附件7）；</w:t>
      </w:r>
    </w:p>
    <w:p w14:paraId="03C2C15C">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3.监狱和戒毒企业证明材料</w:t>
      </w:r>
      <w:r>
        <w:rPr>
          <w:rFonts w:hint="eastAsia" w:ascii="仿宋" w:hAnsi="仿宋" w:eastAsia="仿宋" w:cs="仿宋"/>
          <w:color w:val="auto"/>
          <w:sz w:val="24"/>
          <w:szCs w:val="21"/>
          <w:lang w:val="zh-CN" w:eastAsia="zh-CN"/>
        </w:rPr>
        <w:t>（格式见附件</w:t>
      </w:r>
      <w:r>
        <w:rPr>
          <w:rFonts w:hint="eastAsia" w:ascii="仿宋" w:hAnsi="仿宋" w:eastAsia="仿宋" w:cs="仿宋"/>
          <w:color w:val="auto"/>
          <w:sz w:val="24"/>
          <w:szCs w:val="21"/>
          <w:lang w:val="en-US" w:eastAsia="zh-CN"/>
        </w:rPr>
        <w:t>8</w:t>
      </w:r>
      <w:r>
        <w:rPr>
          <w:rFonts w:hint="eastAsia" w:ascii="仿宋" w:hAnsi="仿宋" w:eastAsia="仿宋" w:cs="仿宋"/>
          <w:color w:val="auto"/>
          <w:sz w:val="24"/>
          <w:szCs w:val="21"/>
          <w:lang w:val="zh-CN" w:eastAsia="zh-CN"/>
        </w:rPr>
        <w:t>）。</w:t>
      </w:r>
    </w:p>
    <w:p w14:paraId="00476B23">
      <w:pPr>
        <w:widowControl w:val="0"/>
        <w:wordWrap/>
        <w:adjustRightInd/>
        <w:snapToGrid/>
        <w:spacing w:line="500" w:lineRule="exact"/>
        <w:textAlignment w:val="auto"/>
        <w:rPr>
          <w:rFonts w:hint="eastAsia" w:ascii="仿宋" w:hAnsi="仿宋" w:eastAsia="仿宋" w:cs="仿宋"/>
          <w:b/>
          <w:color w:val="auto"/>
          <w:sz w:val="28"/>
          <w:szCs w:val="28"/>
        </w:rPr>
      </w:pPr>
    </w:p>
    <w:p w14:paraId="7665108A">
      <w:pPr>
        <w:widowControl w:val="0"/>
        <w:wordWrap/>
        <w:adjustRightInd/>
        <w:snapToGrid/>
        <w:spacing w:line="500" w:lineRule="exact"/>
        <w:textAlignment w:val="auto"/>
        <w:rPr>
          <w:rFonts w:hint="eastAsia" w:ascii="仿宋" w:hAnsi="仿宋" w:eastAsia="仿宋" w:cs="仿宋"/>
          <w:b/>
          <w:color w:val="auto"/>
          <w:sz w:val="28"/>
          <w:szCs w:val="28"/>
        </w:rPr>
      </w:pPr>
    </w:p>
    <w:p w14:paraId="05158D81">
      <w:pPr>
        <w:widowControl w:val="0"/>
        <w:wordWrap/>
        <w:adjustRightInd/>
        <w:snapToGrid/>
        <w:spacing w:line="500" w:lineRule="exact"/>
        <w:textAlignment w:val="auto"/>
        <w:rPr>
          <w:rFonts w:hint="eastAsia" w:ascii="仿宋" w:hAnsi="仿宋" w:eastAsia="仿宋" w:cs="仿宋"/>
          <w:b/>
          <w:color w:val="auto"/>
          <w:sz w:val="24"/>
          <w:szCs w:val="21"/>
        </w:rPr>
      </w:pPr>
      <w:r>
        <w:rPr>
          <w:rFonts w:hint="eastAsia" w:ascii="仿宋" w:hAnsi="仿宋" w:eastAsia="仿宋" w:cs="仿宋"/>
          <w:b/>
          <w:color w:val="auto"/>
          <w:sz w:val="28"/>
          <w:szCs w:val="28"/>
        </w:rPr>
        <w:t xml:space="preserve">附件1 </w:t>
      </w:r>
    </w:p>
    <w:p w14:paraId="1E9CAD50">
      <w:pPr>
        <w:ind w:left="480"/>
        <w:jc w:val="center"/>
        <w:rPr>
          <w:rFonts w:hint="eastAsia" w:ascii="仿宋" w:hAnsi="仿宋" w:eastAsia="仿宋" w:cs="仿宋"/>
          <w:b/>
          <w:sz w:val="24"/>
          <w:szCs w:val="21"/>
        </w:rPr>
      </w:pPr>
      <w:r>
        <w:rPr>
          <w:rFonts w:hint="eastAsia" w:ascii="仿宋" w:hAnsi="仿宋" w:eastAsia="仿宋" w:cs="仿宋"/>
          <w:b/>
          <w:sz w:val="28"/>
          <w:szCs w:val="28"/>
        </w:rPr>
        <w:t>分项报价表（服务类项目）</w:t>
      </w:r>
    </w:p>
    <w:p w14:paraId="288060A3">
      <w:pPr>
        <w:pStyle w:val="15"/>
        <w:rPr>
          <w:rFonts w:hint="eastAsia"/>
        </w:rPr>
      </w:pPr>
    </w:p>
    <w:tbl>
      <w:tblPr>
        <w:tblStyle w:val="1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4157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1631736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321" w:type="dxa"/>
            <w:noWrap w:val="0"/>
            <w:vAlign w:val="center"/>
          </w:tcPr>
          <w:p w14:paraId="51C3C26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名称</w:t>
            </w:r>
          </w:p>
        </w:tc>
        <w:tc>
          <w:tcPr>
            <w:tcW w:w="1417" w:type="dxa"/>
            <w:noWrap w:val="0"/>
            <w:vAlign w:val="center"/>
          </w:tcPr>
          <w:p w14:paraId="1FDC1F3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服务范围</w:t>
            </w:r>
          </w:p>
        </w:tc>
        <w:tc>
          <w:tcPr>
            <w:tcW w:w="1418" w:type="dxa"/>
            <w:noWrap w:val="0"/>
            <w:vAlign w:val="center"/>
          </w:tcPr>
          <w:p w14:paraId="1CF9505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服务要求</w:t>
            </w:r>
          </w:p>
        </w:tc>
        <w:tc>
          <w:tcPr>
            <w:tcW w:w="1275" w:type="dxa"/>
            <w:noWrap w:val="0"/>
            <w:vAlign w:val="center"/>
          </w:tcPr>
          <w:p w14:paraId="1B9B999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服务时间</w:t>
            </w:r>
          </w:p>
        </w:tc>
        <w:tc>
          <w:tcPr>
            <w:tcW w:w="1276" w:type="dxa"/>
            <w:noWrap w:val="0"/>
            <w:vAlign w:val="center"/>
          </w:tcPr>
          <w:p w14:paraId="39C3E9A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服务标准</w:t>
            </w:r>
          </w:p>
        </w:tc>
        <w:tc>
          <w:tcPr>
            <w:tcW w:w="851" w:type="dxa"/>
            <w:noWrap w:val="0"/>
            <w:vAlign w:val="center"/>
          </w:tcPr>
          <w:p w14:paraId="272FD0A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金额</w:t>
            </w:r>
          </w:p>
        </w:tc>
        <w:tc>
          <w:tcPr>
            <w:tcW w:w="1151" w:type="dxa"/>
            <w:noWrap w:val="0"/>
            <w:vAlign w:val="center"/>
          </w:tcPr>
          <w:p w14:paraId="2CC0193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备注</w:t>
            </w:r>
          </w:p>
        </w:tc>
      </w:tr>
      <w:tr w14:paraId="4B8C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46B840B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321" w:type="dxa"/>
            <w:noWrap w:val="0"/>
            <w:vAlign w:val="center"/>
          </w:tcPr>
          <w:p w14:paraId="7E676E2D">
            <w:pPr>
              <w:spacing w:line="0" w:lineRule="atLeast"/>
              <w:jc w:val="center"/>
              <w:rPr>
                <w:rFonts w:hint="eastAsia" w:ascii="仿宋" w:hAnsi="仿宋" w:eastAsia="仿宋" w:cs="仿宋"/>
                <w:sz w:val="24"/>
                <w:szCs w:val="24"/>
              </w:rPr>
            </w:pPr>
          </w:p>
        </w:tc>
        <w:tc>
          <w:tcPr>
            <w:tcW w:w="1417" w:type="dxa"/>
            <w:noWrap w:val="0"/>
            <w:vAlign w:val="center"/>
          </w:tcPr>
          <w:p w14:paraId="6BE338C4">
            <w:pPr>
              <w:spacing w:line="0" w:lineRule="atLeast"/>
              <w:jc w:val="center"/>
              <w:rPr>
                <w:rFonts w:hint="eastAsia" w:ascii="仿宋" w:hAnsi="仿宋" w:eastAsia="仿宋" w:cs="仿宋"/>
                <w:sz w:val="24"/>
                <w:szCs w:val="24"/>
              </w:rPr>
            </w:pPr>
          </w:p>
        </w:tc>
        <w:tc>
          <w:tcPr>
            <w:tcW w:w="1418" w:type="dxa"/>
            <w:noWrap w:val="0"/>
            <w:vAlign w:val="center"/>
          </w:tcPr>
          <w:p w14:paraId="1AC7E50F">
            <w:pPr>
              <w:spacing w:line="0" w:lineRule="atLeast"/>
              <w:jc w:val="center"/>
              <w:rPr>
                <w:rFonts w:hint="eastAsia" w:ascii="仿宋" w:hAnsi="仿宋" w:eastAsia="仿宋" w:cs="仿宋"/>
                <w:sz w:val="24"/>
                <w:szCs w:val="24"/>
              </w:rPr>
            </w:pPr>
          </w:p>
        </w:tc>
        <w:tc>
          <w:tcPr>
            <w:tcW w:w="1275" w:type="dxa"/>
            <w:noWrap w:val="0"/>
            <w:vAlign w:val="center"/>
          </w:tcPr>
          <w:p w14:paraId="2C7149E2">
            <w:pPr>
              <w:spacing w:line="0" w:lineRule="atLeast"/>
              <w:jc w:val="center"/>
              <w:rPr>
                <w:rFonts w:hint="eastAsia" w:ascii="仿宋" w:hAnsi="仿宋" w:eastAsia="仿宋" w:cs="仿宋"/>
                <w:sz w:val="24"/>
                <w:szCs w:val="24"/>
              </w:rPr>
            </w:pPr>
          </w:p>
        </w:tc>
        <w:tc>
          <w:tcPr>
            <w:tcW w:w="1276" w:type="dxa"/>
            <w:noWrap w:val="0"/>
            <w:vAlign w:val="center"/>
          </w:tcPr>
          <w:p w14:paraId="1A04E284">
            <w:pPr>
              <w:spacing w:line="0" w:lineRule="atLeast"/>
              <w:jc w:val="center"/>
              <w:rPr>
                <w:rFonts w:hint="eastAsia" w:ascii="仿宋" w:hAnsi="仿宋" w:eastAsia="仿宋" w:cs="仿宋"/>
                <w:sz w:val="24"/>
                <w:szCs w:val="24"/>
              </w:rPr>
            </w:pPr>
          </w:p>
        </w:tc>
        <w:tc>
          <w:tcPr>
            <w:tcW w:w="851" w:type="dxa"/>
            <w:noWrap w:val="0"/>
            <w:vAlign w:val="center"/>
          </w:tcPr>
          <w:p w14:paraId="09C871D6">
            <w:pPr>
              <w:spacing w:line="0" w:lineRule="atLeast"/>
              <w:jc w:val="center"/>
              <w:rPr>
                <w:rFonts w:hint="eastAsia" w:ascii="仿宋" w:hAnsi="仿宋" w:eastAsia="仿宋" w:cs="仿宋"/>
                <w:sz w:val="24"/>
                <w:szCs w:val="24"/>
              </w:rPr>
            </w:pPr>
          </w:p>
        </w:tc>
        <w:tc>
          <w:tcPr>
            <w:tcW w:w="1151" w:type="dxa"/>
            <w:noWrap w:val="0"/>
            <w:vAlign w:val="center"/>
          </w:tcPr>
          <w:p w14:paraId="40273669">
            <w:pPr>
              <w:spacing w:line="0" w:lineRule="atLeast"/>
              <w:jc w:val="center"/>
              <w:rPr>
                <w:rFonts w:hint="eastAsia" w:ascii="仿宋" w:hAnsi="仿宋" w:eastAsia="仿宋" w:cs="仿宋"/>
                <w:sz w:val="24"/>
                <w:szCs w:val="24"/>
              </w:rPr>
            </w:pPr>
          </w:p>
        </w:tc>
      </w:tr>
      <w:tr w14:paraId="1FF5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0DF3439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321" w:type="dxa"/>
            <w:noWrap w:val="0"/>
            <w:vAlign w:val="center"/>
          </w:tcPr>
          <w:p w14:paraId="4B974093">
            <w:pPr>
              <w:spacing w:line="0" w:lineRule="atLeast"/>
              <w:jc w:val="center"/>
              <w:rPr>
                <w:rFonts w:hint="eastAsia" w:ascii="仿宋" w:hAnsi="仿宋" w:eastAsia="仿宋" w:cs="仿宋"/>
                <w:sz w:val="24"/>
                <w:szCs w:val="24"/>
              </w:rPr>
            </w:pPr>
          </w:p>
        </w:tc>
        <w:tc>
          <w:tcPr>
            <w:tcW w:w="1417" w:type="dxa"/>
            <w:noWrap w:val="0"/>
            <w:vAlign w:val="center"/>
          </w:tcPr>
          <w:p w14:paraId="380CC174">
            <w:pPr>
              <w:spacing w:line="0" w:lineRule="atLeast"/>
              <w:jc w:val="center"/>
              <w:rPr>
                <w:rFonts w:hint="eastAsia" w:ascii="仿宋" w:hAnsi="仿宋" w:eastAsia="仿宋" w:cs="仿宋"/>
                <w:sz w:val="24"/>
                <w:szCs w:val="24"/>
              </w:rPr>
            </w:pPr>
          </w:p>
        </w:tc>
        <w:tc>
          <w:tcPr>
            <w:tcW w:w="1418" w:type="dxa"/>
            <w:noWrap w:val="0"/>
            <w:vAlign w:val="center"/>
          </w:tcPr>
          <w:p w14:paraId="1E6F73EF">
            <w:pPr>
              <w:spacing w:line="0" w:lineRule="atLeast"/>
              <w:jc w:val="center"/>
              <w:rPr>
                <w:rFonts w:hint="eastAsia" w:ascii="仿宋" w:hAnsi="仿宋" w:eastAsia="仿宋" w:cs="仿宋"/>
                <w:sz w:val="24"/>
                <w:szCs w:val="24"/>
              </w:rPr>
            </w:pPr>
          </w:p>
        </w:tc>
        <w:tc>
          <w:tcPr>
            <w:tcW w:w="1275" w:type="dxa"/>
            <w:noWrap w:val="0"/>
            <w:vAlign w:val="center"/>
          </w:tcPr>
          <w:p w14:paraId="7C997E05">
            <w:pPr>
              <w:spacing w:line="0" w:lineRule="atLeast"/>
              <w:jc w:val="center"/>
              <w:rPr>
                <w:rFonts w:hint="eastAsia" w:ascii="仿宋" w:hAnsi="仿宋" w:eastAsia="仿宋" w:cs="仿宋"/>
                <w:sz w:val="24"/>
                <w:szCs w:val="24"/>
              </w:rPr>
            </w:pPr>
          </w:p>
        </w:tc>
        <w:tc>
          <w:tcPr>
            <w:tcW w:w="1276" w:type="dxa"/>
            <w:noWrap w:val="0"/>
            <w:vAlign w:val="center"/>
          </w:tcPr>
          <w:p w14:paraId="2C54FFC0">
            <w:pPr>
              <w:spacing w:line="0" w:lineRule="atLeast"/>
              <w:jc w:val="center"/>
              <w:rPr>
                <w:rFonts w:hint="eastAsia" w:ascii="仿宋" w:hAnsi="仿宋" w:eastAsia="仿宋" w:cs="仿宋"/>
                <w:sz w:val="24"/>
                <w:szCs w:val="24"/>
              </w:rPr>
            </w:pPr>
          </w:p>
        </w:tc>
        <w:tc>
          <w:tcPr>
            <w:tcW w:w="851" w:type="dxa"/>
            <w:noWrap w:val="0"/>
            <w:vAlign w:val="center"/>
          </w:tcPr>
          <w:p w14:paraId="46467F81">
            <w:pPr>
              <w:spacing w:line="0" w:lineRule="atLeast"/>
              <w:jc w:val="center"/>
              <w:rPr>
                <w:rFonts w:hint="eastAsia" w:ascii="仿宋" w:hAnsi="仿宋" w:eastAsia="仿宋" w:cs="仿宋"/>
                <w:sz w:val="24"/>
                <w:szCs w:val="24"/>
              </w:rPr>
            </w:pPr>
          </w:p>
        </w:tc>
        <w:tc>
          <w:tcPr>
            <w:tcW w:w="1151" w:type="dxa"/>
            <w:noWrap w:val="0"/>
            <w:vAlign w:val="center"/>
          </w:tcPr>
          <w:p w14:paraId="42FBAA2D">
            <w:pPr>
              <w:spacing w:line="0" w:lineRule="atLeast"/>
              <w:jc w:val="center"/>
              <w:rPr>
                <w:rFonts w:hint="eastAsia" w:ascii="仿宋" w:hAnsi="仿宋" w:eastAsia="仿宋" w:cs="仿宋"/>
                <w:sz w:val="24"/>
                <w:szCs w:val="24"/>
              </w:rPr>
            </w:pPr>
          </w:p>
        </w:tc>
      </w:tr>
      <w:tr w14:paraId="026F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0F63285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321" w:type="dxa"/>
            <w:noWrap w:val="0"/>
            <w:vAlign w:val="center"/>
          </w:tcPr>
          <w:p w14:paraId="4674D067">
            <w:pPr>
              <w:spacing w:line="0" w:lineRule="atLeast"/>
              <w:jc w:val="center"/>
              <w:rPr>
                <w:rFonts w:hint="eastAsia" w:ascii="仿宋" w:hAnsi="仿宋" w:eastAsia="仿宋" w:cs="仿宋"/>
                <w:sz w:val="24"/>
                <w:szCs w:val="24"/>
              </w:rPr>
            </w:pPr>
          </w:p>
        </w:tc>
        <w:tc>
          <w:tcPr>
            <w:tcW w:w="1417" w:type="dxa"/>
            <w:noWrap w:val="0"/>
            <w:vAlign w:val="center"/>
          </w:tcPr>
          <w:p w14:paraId="12D9EF5E">
            <w:pPr>
              <w:spacing w:line="0" w:lineRule="atLeast"/>
              <w:jc w:val="center"/>
              <w:rPr>
                <w:rFonts w:hint="eastAsia" w:ascii="仿宋" w:hAnsi="仿宋" w:eastAsia="仿宋" w:cs="仿宋"/>
                <w:sz w:val="24"/>
                <w:szCs w:val="24"/>
              </w:rPr>
            </w:pPr>
          </w:p>
        </w:tc>
        <w:tc>
          <w:tcPr>
            <w:tcW w:w="1418" w:type="dxa"/>
            <w:noWrap w:val="0"/>
            <w:vAlign w:val="center"/>
          </w:tcPr>
          <w:p w14:paraId="7A62B212">
            <w:pPr>
              <w:spacing w:line="0" w:lineRule="atLeast"/>
              <w:jc w:val="center"/>
              <w:rPr>
                <w:rFonts w:hint="eastAsia" w:ascii="仿宋" w:hAnsi="仿宋" w:eastAsia="仿宋" w:cs="仿宋"/>
                <w:sz w:val="24"/>
                <w:szCs w:val="24"/>
              </w:rPr>
            </w:pPr>
          </w:p>
        </w:tc>
        <w:tc>
          <w:tcPr>
            <w:tcW w:w="1275" w:type="dxa"/>
            <w:noWrap w:val="0"/>
            <w:vAlign w:val="center"/>
          </w:tcPr>
          <w:p w14:paraId="36D7493A">
            <w:pPr>
              <w:spacing w:line="0" w:lineRule="atLeast"/>
              <w:jc w:val="center"/>
              <w:rPr>
                <w:rFonts w:hint="eastAsia" w:ascii="仿宋" w:hAnsi="仿宋" w:eastAsia="仿宋" w:cs="仿宋"/>
                <w:sz w:val="24"/>
                <w:szCs w:val="24"/>
              </w:rPr>
            </w:pPr>
          </w:p>
        </w:tc>
        <w:tc>
          <w:tcPr>
            <w:tcW w:w="1276" w:type="dxa"/>
            <w:noWrap w:val="0"/>
            <w:vAlign w:val="center"/>
          </w:tcPr>
          <w:p w14:paraId="116FB146">
            <w:pPr>
              <w:spacing w:line="0" w:lineRule="atLeast"/>
              <w:jc w:val="center"/>
              <w:rPr>
                <w:rFonts w:hint="eastAsia" w:ascii="仿宋" w:hAnsi="仿宋" w:eastAsia="仿宋" w:cs="仿宋"/>
                <w:sz w:val="24"/>
                <w:szCs w:val="24"/>
              </w:rPr>
            </w:pPr>
          </w:p>
        </w:tc>
        <w:tc>
          <w:tcPr>
            <w:tcW w:w="851" w:type="dxa"/>
            <w:noWrap w:val="0"/>
            <w:vAlign w:val="center"/>
          </w:tcPr>
          <w:p w14:paraId="441AA4BD">
            <w:pPr>
              <w:spacing w:line="0" w:lineRule="atLeast"/>
              <w:jc w:val="center"/>
              <w:rPr>
                <w:rFonts w:hint="eastAsia" w:ascii="仿宋" w:hAnsi="仿宋" w:eastAsia="仿宋" w:cs="仿宋"/>
                <w:sz w:val="24"/>
                <w:szCs w:val="24"/>
              </w:rPr>
            </w:pPr>
          </w:p>
        </w:tc>
        <w:tc>
          <w:tcPr>
            <w:tcW w:w="1151" w:type="dxa"/>
            <w:noWrap w:val="0"/>
            <w:vAlign w:val="center"/>
          </w:tcPr>
          <w:p w14:paraId="3BFE8024">
            <w:pPr>
              <w:spacing w:line="0" w:lineRule="atLeast"/>
              <w:jc w:val="center"/>
              <w:rPr>
                <w:rFonts w:hint="eastAsia" w:ascii="仿宋" w:hAnsi="仿宋" w:eastAsia="仿宋" w:cs="仿宋"/>
                <w:sz w:val="24"/>
                <w:szCs w:val="24"/>
              </w:rPr>
            </w:pPr>
          </w:p>
        </w:tc>
      </w:tr>
      <w:tr w14:paraId="5F24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557A086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321" w:type="dxa"/>
            <w:noWrap w:val="0"/>
            <w:vAlign w:val="center"/>
          </w:tcPr>
          <w:p w14:paraId="4881C0FC">
            <w:pPr>
              <w:spacing w:line="0" w:lineRule="atLeast"/>
              <w:jc w:val="center"/>
              <w:rPr>
                <w:rFonts w:hint="eastAsia" w:ascii="仿宋" w:hAnsi="仿宋" w:eastAsia="仿宋" w:cs="仿宋"/>
                <w:sz w:val="24"/>
                <w:szCs w:val="24"/>
              </w:rPr>
            </w:pPr>
          </w:p>
        </w:tc>
        <w:tc>
          <w:tcPr>
            <w:tcW w:w="1417" w:type="dxa"/>
            <w:noWrap w:val="0"/>
            <w:vAlign w:val="center"/>
          </w:tcPr>
          <w:p w14:paraId="1C13EB02">
            <w:pPr>
              <w:spacing w:line="0" w:lineRule="atLeast"/>
              <w:jc w:val="center"/>
              <w:rPr>
                <w:rFonts w:hint="eastAsia" w:ascii="仿宋" w:hAnsi="仿宋" w:eastAsia="仿宋" w:cs="仿宋"/>
                <w:sz w:val="24"/>
                <w:szCs w:val="24"/>
              </w:rPr>
            </w:pPr>
          </w:p>
        </w:tc>
        <w:tc>
          <w:tcPr>
            <w:tcW w:w="1418" w:type="dxa"/>
            <w:noWrap w:val="0"/>
            <w:vAlign w:val="center"/>
          </w:tcPr>
          <w:p w14:paraId="657F5B9D">
            <w:pPr>
              <w:spacing w:line="0" w:lineRule="atLeast"/>
              <w:jc w:val="center"/>
              <w:rPr>
                <w:rFonts w:hint="eastAsia" w:ascii="仿宋" w:hAnsi="仿宋" w:eastAsia="仿宋" w:cs="仿宋"/>
                <w:sz w:val="24"/>
                <w:szCs w:val="24"/>
              </w:rPr>
            </w:pPr>
          </w:p>
        </w:tc>
        <w:tc>
          <w:tcPr>
            <w:tcW w:w="1275" w:type="dxa"/>
            <w:noWrap w:val="0"/>
            <w:vAlign w:val="center"/>
          </w:tcPr>
          <w:p w14:paraId="29B2CB91">
            <w:pPr>
              <w:spacing w:line="0" w:lineRule="atLeast"/>
              <w:jc w:val="center"/>
              <w:rPr>
                <w:rFonts w:hint="eastAsia" w:ascii="仿宋" w:hAnsi="仿宋" w:eastAsia="仿宋" w:cs="仿宋"/>
                <w:sz w:val="24"/>
                <w:szCs w:val="24"/>
              </w:rPr>
            </w:pPr>
          </w:p>
        </w:tc>
        <w:tc>
          <w:tcPr>
            <w:tcW w:w="1276" w:type="dxa"/>
            <w:noWrap w:val="0"/>
            <w:vAlign w:val="center"/>
          </w:tcPr>
          <w:p w14:paraId="05DD27F8">
            <w:pPr>
              <w:spacing w:line="0" w:lineRule="atLeast"/>
              <w:jc w:val="center"/>
              <w:rPr>
                <w:rFonts w:hint="eastAsia" w:ascii="仿宋" w:hAnsi="仿宋" w:eastAsia="仿宋" w:cs="仿宋"/>
                <w:sz w:val="24"/>
                <w:szCs w:val="24"/>
              </w:rPr>
            </w:pPr>
          </w:p>
        </w:tc>
        <w:tc>
          <w:tcPr>
            <w:tcW w:w="851" w:type="dxa"/>
            <w:noWrap w:val="0"/>
            <w:vAlign w:val="center"/>
          </w:tcPr>
          <w:p w14:paraId="3F36EDE4">
            <w:pPr>
              <w:spacing w:line="0" w:lineRule="atLeast"/>
              <w:jc w:val="center"/>
              <w:rPr>
                <w:rFonts w:hint="eastAsia" w:ascii="仿宋" w:hAnsi="仿宋" w:eastAsia="仿宋" w:cs="仿宋"/>
                <w:sz w:val="24"/>
                <w:szCs w:val="24"/>
              </w:rPr>
            </w:pPr>
          </w:p>
        </w:tc>
        <w:tc>
          <w:tcPr>
            <w:tcW w:w="1151" w:type="dxa"/>
            <w:noWrap w:val="0"/>
            <w:vAlign w:val="center"/>
          </w:tcPr>
          <w:p w14:paraId="575AF236">
            <w:pPr>
              <w:spacing w:line="0" w:lineRule="atLeast"/>
              <w:jc w:val="center"/>
              <w:rPr>
                <w:rFonts w:hint="eastAsia" w:ascii="仿宋" w:hAnsi="仿宋" w:eastAsia="仿宋" w:cs="仿宋"/>
                <w:sz w:val="24"/>
                <w:szCs w:val="24"/>
              </w:rPr>
            </w:pPr>
          </w:p>
        </w:tc>
      </w:tr>
      <w:tr w14:paraId="19FB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31AEAB3A">
            <w:pPr>
              <w:spacing w:line="0" w:lineRule="atLeast"/>
              <w:jc w:val="center"/>
              <w:rPr>
                <w:rFonts w:hint="eastAsia" w:ascii="仿宋" w:hAnsi="仿宋" w:eastAsia="仿宋" w:cs="仿宋"/>
                <w:sz w:val="24"/>
                <w:szCs w:val="24"/>
              </w:rPr>
            </w:pPr>
            <w:r>
              <w:rPr>
                <w:rFonts w:hint="eastAsia" w:ascii="仿宋" w:hAnsi="仿宋" w:eastAsia="仿宋" w:cs="仿宋"/>
                <w:color w:val="000000"/>
                <w:sz w:val="24"/>
                <w:szCs w:val="24"/>
              </w:rPr>
              <w:t>…</w:t>
            </w:r>
          </w:p>
        </w:tc>
        <w:tc>
          <w:tcPr>
            <w:tcW w:w="1321" w:type="dxa"/>
            <w:noWrap w:val="0"/>
            <w:vAlign w:val="center"/>
          </w:tcPr>
          <w:p w14:paraId="34487D43">
            <w:pPr>
              <w:spacing w:line="0" w:lineRule="atLeast"/>
              <w:jc w:val="center"/>
              <w:rPr>
                <w:rFonts w:hint="eastAsia" w:ascii="仿宋" w:hAnsi="仿宋" w:eastAsia="仿宋" w:cs="仿宋"/>
                <w:sz w:val="24"/>
                <w:szCs w:val="24"/>
              </w:rPr>
            </w:pPr>
            <w:r>
              <w:rPr>
                <w:rFonts w:hint="eastAsia" w:ascii="仿宋" w:hAnsi="仿宋" w:eastAsia="仿宋" w:cs="仿宋"/>
                <w:color w:val="000000"/>
                <w:sz w:val="24"/>
                <w:szCs w:val="24"/>
              </w:rPr>
              <w:t>……</w:t>
            </w:r>
          </w:p>
        </w:tc>
        <w:tc>
          <w:tcPr>
            <w:tcW w:w="1417" w:type="dxa"/>
            <w:noWrap w:val="0"/>
            <w:vAlign w:val="center"/>
          </w:tcPr>
          <w:p w14:paraId="06928F88">
            <w:pPr>
              <w:spacing w:line="0" w:lineRule="atLeast"/>
              <w:jc w:val="center"/>
              <w:rPr>
                <w:rFonts w:hint="eastAsia" w:ascii="仿宋" w:hAnsi="仿宋" w:eastAsia="仿宋" w:cs="仿宋"/>
                <w:sz w:val="24"/>
                <w:szCs w:val="24"/>
              </w:rPr>
            </w:pPr>
          </w:p>
        </w:tc>
        <w:tc>
          <w:tcPr>
            <w:tcW w:w="1418" w:type="dxa"/>
            <w:noWrap w:val="0"/>
            <w:vAlign w:val="center"/>
          </w:tcPr>
          <w:p w14:paraId="4ADE85B4">
            <w:pPr>
              <w:spacing w:line="0" w:lineRule="atLeast"/>
              <w:jc w:val="center"/>
              <w:rPr>
                <w:rFonts w:hint="eastAsia" w:ascii="仿宋" w:hAnsi="仿宋" w:eastAsia="仿宋" w:cs="仿宋"/>
                <w:sz w:val="24"/>
                <w:szCs w:val="24"/>
              </w:rPr>
            </w:pPr>
          </w:p>
        </w:tc>
        <w:tc>
          <w:tcPr>
            <w:tcW w:w="1275" w:type="dxa"/>
            <w:noWrap w:val="0"/>
            <w:vAlign w:val="center"/>
          </w:tcPr>
          <w:p w14:paraId="1DED0B60">
            <w:pPr>
              <w:spacing w:line="0" w:lineRule="atLeast"/>
              <w:jc w:val="center"/>
              <w:rPr>
                <w:rFonts w:hint="eastAsia" w:ascii="仿宋" w:hAnsi="仿宋" w:eastAsia="仿宋" w:cs="仿宋"/>
                <w:sz w:val="24"/>
                <w:szCs w:val="24"/>
              </w:rPr>
            </w:pPr>
          </w:p>
        </w:tc>
        <w:tc>
          <w:tcPr>
            <w:tcW w:w="1276" w:type="dxa"/>
            <w:noWrap w:val="0"/>
            <w:vAlign w:val="center"/>
          </w:tcPr>
          <w:p w14:paraId="7F830F19">
            <w:pPr>
              <w:spacing w:line="0" w:lineRule="atLeast"/>
              <w:jc w:val="center"/>
              <w:rPr>
                <w:rFonts w:hint="eastAsia" w:ascii="仿宋" w:hAnsi="仿宋" w:eastAsia="仿宋" w:cs="仿宋"/>
                <w:sz w:val="24"/>
                <w:szCs w:val="24"/>
              </w:rPr>
            </w:pPr>
          </w:p>
        </w:tc>
        <w:tc>
          <w:tcPr>
            <w:tcW w:w="851" w:type="dxa"/>
            <w:noWrap w:val="0"/>
            <w:vAlign w:val="center"/>
          </w:tcPr>
          <w:p w14:paraId="514816C7">
            <w:pPr>
              <w:spacing w:line="0" w:lineRule="atLeast"/>
              <w:jc w:val="center"/>
              <w:rPr>
                <w:rFonts w:hint="eastAsia" w:ascii="仿宋" w:hAnsi="仿宋" w:eastAsia="仿宋" w:cs="仿宋"/>
                <w:sz w:val="24"/>
                <w:szCs w:val="24"/>
              </w:rPr>
            </w:pPr>
          </w:p>
        </w:tc>
        <w:tc>
          <w:tcPr>
            <w:tcW w:w="1151" w:type="dxa"/>
            <w:noWrap w:val="0"/>
            <w:vAlign w:val="center"/>
          </w:tcPr>
          <w:p w14:paraId="28AB8BCF">
            <w:pPr>
              <w:spacing w:line="0" w:lineRule="atLeast"/>
              <w:jc w:val="center"/>
              <w:rPr>
                <w:rFonts w:hint="eastAsia" w:ascii="仿宋" w:hAnsi="仿宋" w:eastAsia="仿宋" w:cs="仿宋"/>
                <w:sz w:val="24"/>
                <w:szCs w:val="24"/>
              </w:rPr>
            </w:pPr>
          </w:p>
        </w:tc>
      </w:tr>
      <w:tr w14:paraId="0A1E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vAlign w:val="top"/>
          </w:tcPr>
          <w:p w14:paraId="4C85CC92">
            <w:pPr>
              <w:jc w:val="center"/>
              <w:rPr>
                <w:rFonts w:hint="eastAsia" w:ascii="仿宋" w:hAnsi="仿宋" w:eastAsia="仿宋" w:cs="仿宋"/>
                <w:sz w:val="24"/>
                <w:szCs w:val="24"/>
              </w:rPr>
            </w:pPr>
          </w:p>
        </w:tc>
        <w:tc>
          <w:tcPr>
            <w:tcW w:w="8709" w:type="dxa"/>
            <w:gridSpan w:val="7"/>
            <w:noWrap w:val="0"/>
            <w:vAlign w:val="center"/>
          </w:tcPr>
          <w:p w14:paraId="00F3FC98">
            <w:pPr>
              <w:spacing w:line="0" w:lineRule="atLeast"/>
              <w:jc w:val="both"/>
              <w:rPr>
                <w:rFonts w:hint="eastAsia" w:ascii="仿宋" w:hAnsi="仿宋" w:eastAsia="仿宋" w:cs="仿宋"/>
                <w:sz w:val="24"/>
                <w:szCs w:val="24"/>
              </w:rPr>
            </w:pPr>
            <w:r>
              <w:rPr>
                <w:rFonts w:hint="eastAsia" w:ascii="仿宋" w:hAnsi="仿宋" w:eastAsia="仿宋" w:cs="仿宋"/>
                <w:color w:val="000000"/>
                <w:sz w:val="24"/>
                <w:szCs w:val="24"/>
              </w:rPr>
              <w:t>总报价（人民币</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大写</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元</w:t>
            </w:r>
          </w:p>
        </w:tc>
      </w:tr>
    </w:tbl>
    <w:p w14:paraId="2FFDED39">
      <w:pPr>
        <w:rPr>
          <w:rFonts w:hint="eastAsia" w:ascii="仿宋" w:hAnsi="仿宋" w:eastAsia="仿宋" w:cs="仿宋"/>
          <w:sz w:val="24"/>
          <w:szCs w:val="24"/>
        </w:rPr>
      </w:pPr>
    </w:p>
    <w:p w14:paraId="1674069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备注： </w:t>
      </w:r>
    </w:p>
    <w:p w14:paraId="29D91092">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highlight w:val="cya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谈判报价采用总承包方式，供应商的“总报价”应</w:t>
      </w:r>
      <w:r>
        <w:rPr>
          <w:rFonts w:hint="eastAsia" w:ascii="仿宋" w:hAnsi="仿宋" w:eastAsia="仿宋" w:cs="仿宋"/>
          <w:sz w:val="24"/>
          <w:szCs w:val="24"/>
          <w:lang w:val="en-US" w:eastAsia="zh-CN"/>
        </w:rPr>
        <w:t>包括但不限于工作人员的工资、福利、服装、通讯交通、所有依法应缴纳的社会保险、值班费、夜班费、加班费、餐宿费等，工资标准不低于本地最低工资标准，固定资产折旧费，考核奖、合理利润、各种税费、政策性文件规定（包含政策性调整）、市场状况及合同包含的所有风险、责任等一切费用</w:t>
      </w:r>
      <w:r>
        <w:rPr>
          <w:rFonts w:hint="eastAsia" w:ascii="仿宋" w:hAnsi="仿宋" w:eastAsia="仿宋" w:cs="仿宋"/>
          <w:sz w:val="24"/>
          <w:szCs w:val="24"/>
        </w:rPr>
        <w:t>及为完成整个项目所产生的其它所有费用，采购文件中另有规定的除外。</w:t>
      </w:r>
    </w:p>
    <w:p w14:paraId="75D5FC3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FF0000"/>
          <w:sz w:val="24"/>
          <w:szCs w:val="21"/>
        </w:rPr>
      </w:pPr>
      <w:r>
        <w:rPr>
          <w:rFonts w:hint="eastAsia" w:ascii="仿宋" w:hAnsi="仿宋" w:eastAsia="仿宋" w:cs="仿宋"/>
          <w:b w:val="0"/>
          <w:bCs w:val="0"/>
          <w:color w:val="000000"/>
          <w:sz w:val="24"/>
          <w:lang w:val="en-US" w:eastAsia="zh-CN"/>
        </w:rPr>
        <w:t>2</w:t>
      </w:r>
      <w:r>
        <w:rPr>
          <w:rFonts w:hint="eastAsia" w:ascii="仿宋" w:hAnsi="仿宋" w:eastAsia="仿宋" w:cs="仿宋"/>
          <w:b w:val="0"/>
          <w:bCs w:val="0"/>
          <w:color w:val="000000"/>
          <w:sz w:val="24"/>
        </w:rPr>
        <w:t>.</w:t>
      </w:r>
      <w:r>
        <w:rPr>
          <w:rFonts w:hint="eastAsia" w:ascii="仿宋" w:hAnsi="仿宋" w:eastAsia="仿宋" w:cs="仿宋"/>
          <w:b w:val="0"/>
          <w:bCs w:val="0"/>
          <w:sz w:val="24"/>
          <w:szCs w:val="21"/>
        </w:rPr>
        <w:t>本项目的招标代理费由成交供应商支付，招标代理费金额根据江苏省招标投标协会【苏招协（2022）002号】收费标准*40%计取，在领取《</w:t>
      </w:r>
      <w:r>
        <w:rPr>
          <w:rFonts w:hint="eastAsia" w:ascii="仿宋" w:hAnsi="仿宋" w:eastAsia="仿宋" w:cs="仿宋"/>
          <w:b w:val="0"/>
          <w:bCs w:val="0"/>
          <w:sz w:val="24"/>
          <w:szCs w:val="21"/>
          <w:lang w:eastAsia="zh-CN"/>
        </w:rPr>
        <w:t>成交</w:t>
      </w:r>
      <w:r>
        <w:rPr>
          <w:rFonts w:hint="eastAsia" w:ascii="仿宋" w:hAnsi="仿宋" w:eastAsia="仿宋" w:cs="仿宋"/>
          <w:b w:val="0"/>
          <w:bCs w:val="0"/>
          <w:sz w:val="24"/>
          <w:szCs w:val="21"/>
        </w:rPr>
        <w:t>通知书》时向招标代理机构缴纳，请各投标供应商将此费用一并计入投标报价中。</w:t>
      </w:r>
    </w:p>
    <w:p w14:paraId="28AEF575">
      <w:pPr>
        <w:pStyle w:val="22"/>
        <w:rPr>
          <w:rFonts w:ascii="仿宋" w:hAnsi="仿宋" w:eastAsia="仿宋" w:cs="仿宋"/>
          <w:b/>
          <w:color w:val="FF0000"/>
          <w:szCs w:val="21"/>
        </w:rPr>
      </w:pPr>
    </w:p>
    <w:p w14:paraId="6F1FDD4C">
      <w:pPr>
        <w:spacing w:line="400" w:lineRule="exact"/>
        <w:ind w:firstLine="480" w:firstLineChars="200"/>
        <w:rPr>
          <w:rFonts w:hint="eastAsia" w:ascii="仿宋" w:hAnsi="仿宋" w:eastAsia="仿宋" w:cs="仿宋"/>
          <w:color w:val="auto"/>
          <w:sz w:val="24"/>
          <w:szCs w:val="24"/>
          <w:highlight w:val="cyan"/>
        </w:rPr>
      </w:pPr>
    </w:p>
    <w:p w14:paraId="2202A799">
      <w:pPr>
        <w:spacing w:before="82" w:line="221" w:lineRule="auto"/>
        <w:ind w:firstLine="2990"/>
        <w:rPr>
          <w:rFonts w:ascii="仿宋" w:hAnsi="仿宋" w:eastAsia="仿宋" w:cs="仿宋"/>
          <w:sz w:val="24"/>
        </w:rPr>
      </w:pPr>
      <w:r>
        <w:rPr>
          <w:rFonts w:hint="eastAsia" w:ascii="仿宋" w:hAnsi="仿宋" w:eastAsia="仿宋" w:cs="仿宋"/>
          <w:spacing w:val="-5"/>
          <w:sz w:val="24"/>
        </w:rPr>
        <w:t>投标人（加盖CA电子公章</w:t>
      </w:r>
      <w:r>
        <w:rPr>
          <w:rFonts w:hint="eastAsia" w:ascii="仿宋" w:hAnsi="仿宋" w:eastAsia="仿宋" w:cs="仿宋"/>
          <w:spacing w:val="-1"/>
          <w:sz w:val="24"/>
        </w:rPr>
        <w:t>）：</w:t>
      </w:r>
    </w:p>
    <w:p w14:paraId="28769769">
      <w:pPr>
        <w:jc w:val="center"/>
        <w:rPr>
          <w:rFonts w:ascii="仿宋" w:hAnsi="仿宋" w:eastAsia="仿宋" w:cs="仿宋"/>
          <w:spacing w:val="-12"/>
          <w:sz w:val="24"/>
        </w:rPr>
      </w:pPr>
    </w:p>
    <w:p w14:paraId="1B589ECF">
      <w:pPr>
        <w:jc w:val="center"/>
        <w:rPr>
          <w:rFonts w:ascii="仿宋" w:hAnsi="仿宋" w:eastAsia="仿宋" w:cs="仿宋"/>
          <w:sz w:val="24"/>
        </w:rPr>
      </w:pPr>
      <w:r>
        <w:rPr>
          <w:rFonts w:hint="eastAsia" w:ascii="仿宋" w:hAnsi="仿宋" w:eastAsia="仿宋" w:cs="仿宋"/>
          <w:spacing w:val="-12"/>
          <w:sz w:val="24"/>
        </w:rPr>
        <w:t xml:space="preserve">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日期：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年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月</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日</w:t>
      </w:r>
    </w:p>
    <w:p w14:paraId="76E95336">
      <w:pPr>
        <w:rPr>
          <w:rFonts w:hAnsi="仿宋" w:eastAsia="仿宋"/>
          <w:b/>
          <w:sz w:val="28"/>
          <w:szCs w:val="28"/>
        </w:rPr>
      </w:pPr>
    </w:p>
    <w:bookmarkEnd w:id="215"/>
    <w:bookmarkEnd w:id="216"/>
    <w:bookmarkEnd w:id="217"/>
    <w:p w14:paraId="3F547C03">
      <w:pPr>
        <w:snapToGrid w:val="0"/>
        <w:spacing w:line="400" w:lineRule="exact"/>
        <w:contextualSpacing/>
        <w:rPr>
          <w:rFonts w:hint="eastAsia" w:ascii="仿宋" w:hAnsi="仿宋" w:eastAsia="仿宋" w:cs="仿宋"/>
          <w:b/>
          <w:color w:val="auto"/>
          <w:sz w:val="28"/>
          <w:szCs w:val="28"/>
          <w:lang w:val="zh-CN"/>
        </w:rPr>
      </w:pPr>
      <w:bookmarkStart w:id="218" w:name="_Toc120614284"/>
    </w:p>
    <w:p w14:paraId="57C1A55D">
      <w:pPr>
        <w:snapToGrid w:val="0"/>
        <w:spacing w:line="400" w:lineRule="exact"/>
        <w:contextualSpacing/>
        <w:rPr>
          <w:rFonts w:hint="eastAsia" w:ascii="仿宋" w:hAnsi="仿宋" w:eastAsia="仿宋" w:cs="仿宋"/>
          <w:b/>
          <w:color w:val="auto"/>
          <w:sz w:val="28"/>
          <w:szCs w:val="28"/>
          <w:lang w:val="zh-CN"/>
        </w:rPr>
      </w:pPr>
    </w:p>
    <w:p w14:paraId="27AE881A">
      <w:pPr>
        <w:snapToGrid w:val="0"/>
        <w:spacing w:line="400" w:lineRule="exact"/>
        <w:contextualSpacing/>
        <w:rPr>
          <w:rFonts w:hint="eastAsia" w:ascii="仿宋" w:hAnsi="仿宋" w:eastAsia="仿宋" w:cs="仿宋"/>
          <w:b/>
          <w:color w:val="auto"/>
          <w:sz w:val="28"/>
          <w:szCs w:val="28"/>
          <w:lang w:val="zh-CN"/>
        </w:rPr>
      </w:pPr>
    </w:p>
    <w:p w14:paraId="2D5B3922">
      <w:pPr>
        <w:snapToGrid w:val="0"/>
        <w:spacing w:line="400" w:lineRule="exact"/>
        <w:contextualSpacing/>
        <w:rPr>
          <w:rFonts w:hint="eastAsia" w:ascii="仿宋" w:hAnsi="仿宋" w:eastAsia="仿宋" w:cs="仿宋"/>
          <w:b/>
          <w:color w:val="auto"/>
          <w:sz w:val="28"/>
          <w:szCs w:val="28"/>
          <w:lang w:val="zh-CN"/>
        </w:rPr>
      </w:pPr>
    </w:p>
    <w:p w14:paraId="6F8ADF53">
      <w:pPr>
        <w:snapToGrid w:val="0"/>
        <w:spacing w:line="400" w:lineRule="exact"/>
        <w:contextualSpacing/>
        <w:rPr>
          <w:rFonts w:hint="eastAsia" w:ascii="仿宋" w:hAnsi="仿宋" w:eastAsia="仿宋" w:cs="仿宋"/>
          <w:b/>
          <w:color w:val="auto"/>
          <w:sz w:val="28"/>
          <w:szCs w:val="28"/>
          <w:lang w:val="zh-CN"/>
        </w:rPr>
      </w:pPr>
    </w:p>
    <w:p w14:paraId="53CF478F">
      <w:pPr>
        <w:snapToGrid w:val="0"/>
        <w:spacing w:line="400" w:lineRule="exact"/>
        <w:contextualSpacing/>
        <w:rPr>
          <w:rFonts w:hint="eastAsia" w:ascii="仿宋" w:hAnsi="仿宋" w:eastAsia="仿宋" w:cs="仿宋"/>
          <w:b/>
          <w:color w:val="auto"/>
          <w:sz w:val="28"/>
          <w:szCs w:val="28"/>
          <w:lang w:val="zh-CN"/>
        </w:rPr>
      </w:pPr>
    </w:p>
    <w:p w14:paraId="1165817D">
      <w:pPr>
        <w:snapToGrid w:val="0"/>
        <w:spacing w:line="400" w:lineRule="exact"/>
        <w:contextualSpacing/>
        <w:rPr>
          <w:rFonts w:hint="eastAsia" w:ascii="仿宋" w:hAnsi="仿宋" w:eastAsia="仿宋" w:cs="仿宋"/>
          <w:b/>
          <w:color w:val="auto"/>
          <w:sz w:val="28"/>
          <w:szCs w:val="28"/>
          <w:lang w:val="zh-CN" w:eastAsia="zh-CN"/>
        </w:rPr>
      </w:pPr>
      <w:r>
        <w:rPr>
          <w:rFonts w:hint="eastAsia" w:ascii="仿宋" w:hAnsi="仿宋" w:eastAsia="仿宋" w:cs="仿宋"/>
          <w:b/>
          <w:color w:val="auto"/>
          <w:sz w:val="28"/>
          <w:szCs w:val="28"/>
          <w:lang w:val="zh-CN"/>
        </w:rPr>
        <w:t>附件</w:t>
      </w:r>
      <w:r>
        <w:rPr>
          <w:rFonts w:hint="eastAsia" w:ascii="仿宋" w:hAnsi="仿宋" w:eastAsia="仿宋" w:cs="仿宋"/>
          <w:b/>
          <w:color w:val="auto"/>
          <w:sz w:val="28"/>
          <w:szCs w:val="28"/>
          <w:lang w:val="en-US" w:eastAsia="zh-CN"/>
        </w:rPr>
        <w:t>2</w:t>
      </w:r>
    </w:p>
    <w:p w14:paraId="617F82E1">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投标人符合《中华人民共和国政府采购法》第二十二条规定条件的声明函</w:t>
      </w:r>
    </w:p>
    <w:p w14:paraId="5EFAACF7">
      <w:pPr>
        <w:spacing w:line="520" w:lineRule="exact"/>
        <w:ind w:firstLine="480" w:firstLineChars="200"/>
        <w:rPr>
          <w:rFonts w:hint="eastAsia"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sz w:val="24"/>
          <w:szCs w:val="24"/>
          <w:u w:val="single"/>
          <w:lang w:eastAsia="zh-CN"/>
        </w:rPr>
        <w:t>如东县公安局县局食堂餐饮服务项目</w:t>
      </w:r>
      <w:r>
        <w:rPr>
          <w:rFonts w:hint="eastAsia" w:ascii="仿宋" w:hAnsi="仿宋" w:eastAsia="仿宋" w:cs="仿宋"/>
          <w:bCs/>
          <w:color w:val="000000"/>
          <w:sz w:val="24"/>
          <w:szCs w:val="21"/>
        </w:rPr>
        <w:t>（项目名称）</w:t>
      </w:r>
      <w:r>
        <w:rPr>
          <w:rFonts w:hint="eastAsia" w:ascii="仿宋" w:hAnsi="仿宋" w:eastAsia="仿宋" w:cs="仿宋"/>
          <w:bCs/>
          <w:color w:val="000000"/>
          <w:sz w:val="24"/>
          <w:szCs w:val="21"/>
          <w:lang w:val="en-US" w:eastAsia="zh-CN"/>
        </w:rPr>
        <w:t>的</w:t>
      </w:r>
      <w:r>
        <w:rPr>
          <w:rFonts w:hint="eastAsia" w:ascii="仿宋" w:hAnsi="仿宋" w:eastAsia="仿宋" w:cs="仿宋"/>
          <w:bCs/>
          <w:color w:val="000000"/>
          <w:sz w:val="24"/>
          <w:szCs w:val="21"/>
        </w:rPr>
        <w:t>投标活动。针对《中华人民共和国政府采购法》第二十二条规定做出如下声明：</w:t>
      </w:r>
    </w:p>
    <w:p w14:paraId="0940828D">
      <w:pPr>
        <w:spacing w:line="520" w:lineRule="exact"/>
        <w:ind w:firstLine="482"/>
        <w:rPr>
          <w:rFonts w:hint="eastAsia"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263D42DA">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5978E2B3">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5A34FE39">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53F43A94">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E03F472">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082C919C">
      <w:pPr>
        <w:spacing w:line="500" w:lineRule="exact"/>
        <w:ind w:firstLine="482"/>
        <w:rPr>
          <w:rFonts w:hint="eastAsia" w:ascii="仿宋" w:hAnsi="仿宋" w:eastAsia="仿宋" w:cs="仿宋"/>
          <w:color w:val="000000"/>
          <w:sz w:val="24"/>
        </w:rPr>
      </w:pPr>
    </w:p>
    <w:p w14:paraId="028343BC">
      <w:pPr>
        <w:spacing w:line="500" w:lineRule="exact"/>
        <w:rPr>
          <w:rFonts w:hint="eastAsia" w:ascii="仿宋" w:hAnsi="仿宋" w:eastAsia="仿宋" w:cs="仿宋"/>
          <w:color w:val="000000"/>
          <w:sz w:val="24"/>
        </w:rPr>
      </w:pPr>
    </w:p>
    <w:p w14:paraId="2033690C">
      <w:pPr>
        <w:spacing w:line="500" w:lineRule="exact"/>
        <w:rPr>
          <w:rFonts w:hint="eastAsia" w:ascii="仿宋" w:hAnsi="仿宋" w:eastAsia="仿宋" w:cs="仿宋"/>
          <w:bCs/>
          <w:color w:val="000000"/>
          <w:sz w:val="24"/>
          <w:szCs w:val="21"/>
        </w:rPr>
      </w:pPr>
    </w:p>
    <w:p w14:paraId="2C241CFF">
      <w:pPr>
        <w:spacing w:line="500" w:lineRule="exact"/>
        <w:rPr>
          <w:rFonts w:hint="eastAsia" w:ascii="仿宋" w:hAnsi="仿宋" w:eastAsia="仿宋" w:cs="仿宋"/>
          <w:bCs/>
          <w:color w:val="000000"/>
          <w:sz w:val="24"/>
          <w:szCs w:val="21"/>
        </w:rPr>
      </w:pPr>
    </w:p>
    <w:p w14:paraId="0B4FBBAF">
      <w:pPr>
        <w:spacing w:line="500" w:lineRule="exact"/>
        <w:rPr>
          <w:rFonts w:hint="eastAsia" w:ascii="仿宋" w:hAnsi="仿宋" w:eastAsia="仿宋" w:cs="仿宋"/>
          <w:bCs/>
          <w:color w:val="000000"/>
          <w:sz w:val="24"/>
          <w:szCs w:val="21"/>
        </w:rPr>
      </w:pPr>
    </w:p>
    <w:p w14:paraId="439EF3E6">
      <w:pPr>
        <w:spacing w:line="460" w:lineRule="exact"/>
        <w:jc w:val="center"/>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称（加盖CA电子公章）：</w:t>
      </w:r>
    </w:p>
    <w:p w14:paraId="1D33EBCE">
      <w:pPr>
        <w:spacing w:line="460" w:lineRule="exact"/>
        <w:jc w:val="righ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5C2C7908">
      <w:pPr>
        <w:spacing w:line="460" w:lineRule="exact"/>
        <w:jc w:val="righ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1FDC75CF">
      <w:pPr>
        <w:spacing w:line="560" w:lineRule="exact"/>
        <w:jc w:val="both"/>
        <w:rPr>
          <w:rFonts w:hint="eastAsia" w:ascii="仿宋" w:hAnsi="仿宋" w:eastAsia="仿宋" w:cs="仿宋"/>
          <w:b/>
          <w:color w:val="auto"/>
          <w:sz w:val="28"/>
          <w:szCs w:val="28"/>
          <w:lang w:val="en-US" w:eastAsia="zh-CN"/>
        </w:rPr>
      </w:pPr>
    </w:p>
    <w:p w14:paraId="1B3A9230">
      <w:pPr>
        <w:spacing w:line="560" w:lineRule="exact"/>
        <w:jc w:val="both"/>
        <w:rPr>
          <w:rFonts w:hint="eastAsia" w:ascii="仿宋" w:hAnsi="仿宋" w:eastAsia="仿宋" w:cs="仿宋"/>
          <w:b/>
          <w:color w:val="auto"/>
          <w:sz w:val="28"/>
          <w:szCs w:val="28"/>
          <w:lang w:val="en-US" w:eastAsia="zh-CN"/>
        </w:rPr>
      </w:pPr>
    </w:p>
    <w:p w14:paraId="4AC78E85">
      <w:pPr>
        <w:spacing w:line="560" w:lineRule="exact"/>
        <w:jc w:val="both"/>
        <w:rPr>
          <w:rFonts w:hint="eastAsia" w:ascii="仿宋" w:hAnsi="仿宋" w:eastAsia="仿宋" w:cs="仿宋"/>
          <w:b/>
          <w:color w:val="auto"/>
          <w:sz w:val="28"/>
          <w:szCs w:val="28"/>
          <w:lang w:val="en-US" w:eastAsia="zh-CN"/>
        </w:rPr>
      </w:pPr>
    </w:p>
    <w:p w14:paraId="4B8B5FDE">
      <w:pPr>
        <w:spacing w:line="560" w:lineRule="exact"/>
        <w:jc w:val="both"/>
        <w:rPr>
          <w:rFonts w:hint="eastAsia" w:ascii="仿宋" w:hAnsi="仿宋" w:eastAsia="仿宋" w:cs="仿宋"/>
          <w:b/>
          <w:color w:val="auto"/>
          <w:sz w:val="28"/>
          <w:szCs w:val="28"/>
          <w:lang w:val="en-US" w:eastAsia="zh-CN"/>
        </w:rPr>
      </w:pPr>
    </w:p>
    <w:p w14:paraId="1E5882A7">
      <w:pPr>
        <w:spacing w:line="560" w:lineRule="exact"/>
        <w:jc w:val="both"/>
        <w:rPr>
          <w:rFonts w:hint="eastAsia" w:ascii="仿宋" w:hAnsi="仿宋" w:eastAsia="仿宋" w:cs="仿宋"/>
          <w:b/>
          <w:color w:val="auto"/>
          <w:sz w:val="28"/>
          <w:szCs w:val="28"/>
          <w:lang w:val="en-US" w:eastAsia="zh-CN"/>
        </w:rPr>
      </w:pPr>
    </w:p>
    <w:p w14:paraId="08AC33B3">
      <w:pPr>
        <w:spacing w:line="560" w:lineRule="exact"/>
        <w:jc w:val="both"/>
        <w:rPr>
          <w:rFonts w:hint="eastAsia" w:ascii="仿宋" w:hAnsi="仿宋" w:eastAsia="仿宋" w:cs="仿宋"/>
          <w:b/>
          <w:color w:val="FF0000"/>
          <w:sz w:val="28"/>
          <w:szCs w:val="28"/>
          <w:lang w:val="en-US" w:eastAsia="zh-CN"/>
        </w:rPr>
      </w:pP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p>
    <w:p w14:paraId="75CE6550">
      <w:pPr>
        <w:spacing w:line="560" w:lineRule="exact"/>
        <w:jc w:val="center"/>
        <w:rPr>
          <w:rFonts w:hint="eastAsia" w:ascii="仿宋" w:hAnsi="仿宋" w:eastAsia="仿宋" w:cs="仿宋"/>
          <w:b/>
          <w:bCs/>
          <w:sz w:val="28"/>
          <w:szCs w:val="28"/>
        </w:rPr>
      </w:pPr>
    </w:p>
    <w:p w14:paraId="40B64579">
      <w:pPr>
        <w:spacing w:line="560" w:lineRule="exact"/>
        <w:jc w:val="center"/>
        <w:rPr>
          <w:rFonts w:hint="eastAsia" w:ascii="仿宋" w:hAnsi="仿宋" w:eastAsia="仿宋" w:cs="仿宋"/>
          <w:b/>
          <w:bCs/>
          <w:sz w:val="28"/>
          <w:szCs w:val="28"/>
        </w:rPr>
      </w:pPr>
      <w:r>
        <w:rPr>
          <w:rFonts w:hint="eastAsia" w:ascii="仿宋" w:hAnsi="仿宋" w:eastAsia="仿宋" w:cs="仿宋"/>
          <w:b/>
          <w:bCs/>
          <w:sz w:val="28"/>
          <w:szCs w:val="28"/>
        </w:rPr>
        <w:t>法定代表人身份证明</w:t>
      </w:r>
    </w:p>
    <w:p w14:paraId="47B58A9D">
      <w:pPr>
        <w:spacing w:line="480" w:lineRule="exact"/>
        <w:rPr>
          <w:rFonts w:hint="eastAsia" w:ascii="仿宋" w:hAnsi="仿宋" w:eastAsia="仿宋" w:cs="仿宋"/>
          <w:sz w:val="24"/>
          <w:szCs w:val="24"/>
        </w:rPr>
      </w:pPr>
    </w:p>
    <w:p w14:paraId="5930E9D6">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15B6A424">
      <w:pPr>
        <w:spacing w:line="480" w:lineRule="exact"/>
        <w:ind w:firstLine="480"/>
        <w:rPr>
          <w:rFonts w:hint="eastAsia"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5945F1A9">
      <w:pPr>
        <w:spacing w:line="480" w:lineRule="exact"/>
        <w:ind w:firstLine="480"/>
        <w:rPr>
          <w:rFonts w:hint="eastAsia" w:ascii="仿宋" w:hAnsi="仿宋" w:eastAsia="仿宋" w:cs="仿宋"/>
          <w:sz w:val="24"/>
          <w:szCs w:val="24"/>
        </w:rPr>
      </w:pPr>
    </w:p>
    <w:p w14:paraId="0497D69C">
      <w:pPr>
        <w:spacing w:line="600" w:lineRule="exact"/>
        <w:ind w:firstLine="482" w:firstLineChars="200"/>
        <w:rPr>
          <w:rFonts w:hint="eastAsia" w:ascii="仿宋" w:hAnsi="仿宋" w:eastAsia="仿宋" w:cs="仿宋"/>
          <w:b/>
          <w:sz w:val="24"/>
          <w:szCs w:val="24"/>
          <w:highlight w:val="none"/>
          <w:lang w:eastAsia="zh-CN"/>
        </w:rPr>
      </w:pPr>
      <w:r>
        <w:rPr>
          <w:rFonts w:hint="eastAsia" w:ascii="仿宋" w:hAnsi="仿宋" w:eastAsia="仿宋" w:cs="仿宋"/>
          <w:b/>
          <w:sz w:val="24"/>
          <w:szCs w:val="24"/>
        </w:rPr>
        <w:t>注：提供法定代表人的身份证</w:t>
      </w:r>
      <w:r>
        <w:rPr>
          <w:rFonts w:hint="eastAsia" w:ascii="仿宋" w:hAnsi="仿宋" w:eastAsia="仿宋" w:cs="仿宋"/>
          <w:b/>
          <w:sz w:val="24"/>
          <w:szCs w:val="24"/>
          <w:lang w:val="en-US" w:eastAsia="zh-CN"/>
        </w:rPr>
        <w:t>扫描件</w:t>
      </w:r>
      <w:r>
        <w:rPr>
          <w:rFonts w:hint="eastAsia" w:ascii="仿宋" w:hAnsi="仿宋" w:eastAsia="仿宋" w:cs="仿宋"/>
          <w:bCs/>
          <w:color w:val="000000"/>
          <w:sz w:val="24"/>
          <w:szCs w:val="21"/>
          <w:highlight w:val="none"/>
        </w:rPr>
        <w:t>（加盖CA电子公章）</w:t>
      </w:r>
    </w:p>
    <w:p w14:paraId="27693D96">
      <w:pPr>
        <w:jc w:val="both"/>
        <w:rPr>
          <w:rFonts w:hint="eastAsia" w:ascii="仿宋" w:hAnsi="仿宋" w:eastAsia="仿宋" w:cs="仿宋"/>
          <w:b/>
          <w:color w:val="000000"/>
          <w:sz w:val="24"/>
          <w:szCs w:val="21"/>
        </w:rPr>
      </w:pPr>
    </w:p>
    <w:p w14:paraId="0046B302">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附件</w:t>
      </w:r>
      <w:r>
        <w:rPr>
          <w:rFonts w:hint="eastAsia" w:ascii="仿宋" w:hAnsi="仿宋" w:eastAsia="仿宋" w:cs="仿宋"/>
          <w:b/>
          <w:color w:val="000000"/>
          <w:sz w:val="28"/>
          <w:szCs w:val="28"/>
          <w:lang w:val="en-US" w:eastAsia="zh-CN"/>
        </w:rPr>
        <w:t>4</w:t>
      </w:r>
      <w:r>
        <w:rPr>
          <w:rFonts w:hint="eastAsia" w:ascii="仿宋" w:hAnsi="仿宋" w:eastAsia="仿宋" w:cs="仿宋"/>
          <w:b/>
          <w:color w:val="000000"/>
          <w:sz w:val="28"/>
          <w:szCs w:val="28"/>
        </w:rPr>
        <w:t xml:space="preserve">  </w:t>
      </w:r>
    </w:p>
    <w:p w14:paraId="1D72C0DE">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法人授权书</w:t>
      </w:r>
    </w:p>
    <w:p w14:paraId="679BDE84">
      <w:pPr>
        <w:pStyle w:val="15"/>
        <w:rPr>
          <w:rFonts w:hint="eastAsia"/>
        </w:rPr>
      </w:pPr>
    </w:p>
    <w:p w14:paraId="43205F0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本授权书声明：____________（供应商名称）授权________________（被授权人的姓名）为我方就</w:t>
      </w:r>
      <w:r>
        <w:rPr>
          <w:rFonts w:hint="eastAsia" w:ascii="仿宋" w:hAnsi="仿宋" w:eastAsia="仿宋" w:cs="仿宋"/>
          <w:sz w:val="24"/>
          <w:szCs w:val="24"/>
          <w:u w:val="single"/>
          <w:lang w:eastAsia="zh-CN"/>
        </w:rPr>
        <w:t>如东县公安局县局食堂餐饮服务项目</w:t>
      </w:r>
      <w:r>
        <w:rPr>
          <w:rFonts w:hint="eastAsia" w:ascii="仿宋" w:hAnsi="仿宋" w:eastAsia="仿宋" w:cs="仿宋"/>
          <w:sz w:val="24"/>
          <w:szCs w:val="24"/>
        </w:rPr>
        <w:t>采购活动的合法代理人，以本单位名义全权处理一切与该项目采购有关的事务。</w:t>
      </w:r>
    </w:p>
    <w:p w14:paraId="5A4FD3A1">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5234283D">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textAlignment w:val="auto"/>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4944CCD0">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textAlignment w:val="auto"/>
        <w:rPr>
          <w:rFonts w:hint="eastAsia"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13511ACB">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textAlignment w:val="auto"/>
        <w:rPr>
          <w:rFonts w:hint="eastAsia"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4DCA17EA">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263033B3">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日期：</w:t>
      </w:r>
      <w:bookmarkStart w:id="219" w:name="_Hlt26955070"/>
      <w:bookmarkEnd w:id="219"/>
      <w:bookmarkStart w:id="220" w:name="_Hlt26671380"/>
      <w:bookmarkEnd w:id="220"/>
      <w:bookmarkStart w:id="221" w:name="_格式3__银行出具的资信证明"/>
      <w:bookmarkEnd w:id="221"/>
      <w:r>
        <w:rPr>
          <w:rFonts w:hint="eastAsia" w:ascii="仿宋" w:hAnsi="仿宋" w:eastAsia="仿宋" w:cs="仿宋"/>
          <w:sz w:val="24"/>
          <w:szCs w:val="24"/>
          <w:u w:val="single"/>
        </w:rPr>
        <w:t xml:space="preserve">                                         </w:t>
      </w:r>
    </w:p>
    <w:p w14:paraId="0A8C01B4">
      <w:pPr>
        <w:keepNext w:val="0"/>
        <w:keepLines w:val="0"/>
        <w:pageBreakBefore w:val="0"/>
        <w:widowControl w:val="0"/>
        <w:tabs>
          <w:tab w:val="left" w:pos="360"/>
        </w:tabs>
        <w:kinsoku/>
        <w:wordWrap/>
        <w:overflowPunct/>
        <w:topLinePunct w:val="0"/>
        <w:autoSpaceDE/>
        <w:autoSpaceDN/>
        <w:bidi w:val="0"/>
        <w:spacing w:line="480" w:lineRule="exact"/>
        <w:ind w:firstLine="480" w:firstLineChars="200"/>
        <w:textAlignment w:val="auto"/>
        <w:rPr>
          <w:rFonts w:hint="eastAsia" w:ascii="仿宋" w:hAnsi="仿宋" w:eastAsia="仿宋" w:cs="仿宋"/>
          <w:sz w:val="24"/>
          <w:szCs w:val="24"/>
          <w:u w:val="single"/>
        </w:rPr>
      </w:pPr>
    </w:p>
    <w:p w14:paraId="159507CE">
      <w:pPr>
        <w:tabs>
          <w:tab w:val="left" w:pos="360"/>
        </w:tabs>
        <w:ind w:firstLine="480" w:firstLineChars="200"/>
        <w:rPr>
          <w:rFonts w:hint="eastAsia" w:ascii="仿宋" w:hAnsi="仿宋" w:eastAsia="仿宋" w:cs="仿宋"/>
          <w:sz w:val="24"/>
          <w:szCs w:val="24"/>
        </w:rPr>
      </w:pPr>
    </w:p>
    <w:p w14:paraId="3434A8B8">
      <w:pPr>
        <w:ind w:firstLine="420"/>
        <w:rPr>
          <w:rFonts w:hint="eastAsia" w:ascii="仿宋" w:hAnsi="仿宋" w:eastAsia="仿宋" w:cs="仿宋"/>
          <w:i/>
          <w:sz w:val="24"/>
          <w:szCs w:val="24"/>
          <w:u w:val="single"/>
        </w:rPr>
      </w:pPr>
    </w:p>
    <w:p w14:paraId="2A0CEAE2">
      <w:pPr>
        <w:rPr>
          <w:rFonts w:hint="eastAsia" w:ascii="仿宋" w:hAnsi="仿宋" w:eastAsia="仿宋" w:cs="仿宋"/>
          <w:szCs w:val="21"/>
        </w:rPr>
      </w:pPr>
    </w:p>
    <w:p w14:paraId="14E3C332">
      <w:pPr>
        <w:tabs>
          <w:tab w:val="left" w:pos="360"/>
        </w:tabs>
        <w:spacing w:line="0" w:lineRule="atLeas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rPr>
        <w:t>注：提供被授权人身份证</w:t>
      </w:r>
      <w:r>
        <w:rPr>
          <w:rFonts w:hint="eastAsia" w:ascii="仿宋" w:hAnsi="仿宋" w:eastAsia="仿宋" w:cs="仿宋"/>
          <w:sz w:val="24"/>
          <w:szCs w:val="24"/>
          <w:lang w:eastAsia="zh-CN"/>
        </w:rPr>
        <w:t>扫描</w:t>
      </w:r>
      <w:r>
        <w:rPr>
          <w:rFonts w:hint="eastAsia" w:ascii="仿宋" w:hAnsi="仿宋" w:eastAsia="仿宋" w:cs="仿宋"/>
          <w:sz w:val="24"/>
          <w:szCs w:val="24"/>
        </w:rPr>
        <w:t>件</w:t>
      </w:r>
      <w:r>
        <w:rPr>
          <w:rFonts w:hint="eastAsia" w:ascii="仿宋" w:hAnsi="仿宋" w:eastAsia="仿宋" w:cs="仿宋"/>
          <w:bCs/>
          <w:color w:val="000000"/>
          <w:sz w:val="24"/>
          <w:szCs w:val="21"/>
          <w:highlight w:val="none"/>
        </w:rPr>
        <w:t>（加盖CA电子公章）</w:t>
      </w:r>
    </w:p>
    <w:p w14:paraId="0924B1D0">
      <w:pPr>
        <w:tabs>
          <w:tab w:val="left" w:pos="360"/>
        </w:tabs>
        <w:spacing w:line="0" w:lineRule="atLeast"/>
        <w:ind w:firstLine="480" w:firstLineChars="200"/>
        <w:rPr>
          <w:rFonts w:hint="eastAsia"/>
        </w:rPr>
      </w:pPr>
      <w:r>
        <w:rPr>
          <w:rFonts w:hint="eastAsia" w:ascii="仿宋" w:hAnsi="仿宋" w:eastAsia="仿宋" w:cs="仿宋"/>
          <w:sz w:val="24"/>
          <w:szCs w:val="24"/>
        </w:rPr>
        <w:br w:type="page"/>
      </w:r>
      <w:r>
        <w:rPr>
          <w:rFonts w:hint="eastAsia" w:ascii="仿宋" w:hAnsi="仿宋" w:eastAsia="仿宋" w:cs="仿宋"/>
          <w:b/>
          <w:color w:val="000000"/>
          <w:sz w:val="28"/>
          <w:szCs w:val="28"/>
        </w:rPr>
        <w:t>附件</w:t>
      </w:r>
      <w:r>
        <w:rPr>
          <w:rFonts w:hint="eastAsia" w:ascii="仿宋" w:hAnsi="仿宋" w:eastAsia="仿宋" w:cs="仿宋"/>
          <w:b/>
          <w:color w:val="000000"/>
          <w:sz w:val="28"/>
          <w:szCs w:val="28"/>
          <w:lang w:val="en-US" w:eastAsia="zh-CN"/>
        </w:rPr>
        <w:t>5</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磋商响应函</w:t>
      </w:r>
    </w:p>
    <w:p w14:paraId="2FB6951C">
      <w:pPr>
        <w:keepNext w:val="0"/>
        <w:keepLines w:val="0"/>
        <w:pageBreakBefore w:val="0"/>
        <w:widowControl w:val="0"/>
        <w:kinsoku/>
        <w:wordWrap/>
        <w:overflowPunct/>
        <w:topLinePunct w:val="0"/>
        <w:autoSpaceDE/>
        <w:autoSpaceDN/>
        <w:bidi w:val="0"/>
        <w:adjustRightInd w:val="0"/>
        <w:snapToGrid w:val="0"/>
        <w:spacing w:line="440" w:lineRule="exact"/>
        <w:jc w:val="left"/>
        <w:textAlignment w:val="baseline"/>
        <w:rPr>
          <w:rFonts w:hint="eastAsia" w:ascii="仿宋" w:hAnsi="仿宋" w:eastAsia="仿宋" w:cs="仿宋"/>
          <w:b/>
          <w:bCs/>
          <w:sz w:val="24"/>
          <w:szCs w:val="21"/>
          <w:lang w:eastAsia="zh-CN"/>
        </w:rPr>
      </w:pPr>
      <w:r>
        <w:rPr>
          <w:rFonts w:hint="eastAsia" w:ascii="仿宋" w:hAnsi="仿宋" w:eastAsia="仿宋" w:cs="仿宋"/>
          <w:b/>
          <w:bCs/>
          <w:sz w:val="24"/>
          <w:szCs w:val="21"/>
        </w:rPr>
        <w:t>致</w:t>
      </w:r>
      <w:r>
        <w:rPr>
          <w:rFonts w:hint="eastAsia" w:ascii="仿宋" w:hAnsi="仿宋" w:eastAsia="仿宋" w:cs="仿宋"/>
          <w:b/>
          <w:bCs/>
          <w:sz w:val="24"/>
          <w:szCs w:val="21"/>
          <w:lang w:val="en-US" w:eastAsia="zh-CN"/>
        </w:rPr>
        <w:t>：</w:t>
      </w:r>
      <w:r>
        <w:rPr>
          <w:rFonts w:hint="eastAsia" w:ascii="仿宋" w:hAnsi="仿宋" w:eastAsia="仿宋" w:cs="仿宋"/>
          <w:b/>
          <w:bCs/>
          <w:sz w:val="24"/>
          <w:szCs w:val="21"/>
          <w:u w:val="single"/>
          <w:lang w:val="en-US" w:eastAsia="zh-CN"/>
        </w:rPr>
        <w:t xml:space="preserve">如东县公安局 </w:t>
      </w:r>
    </w:p>
    <w:p w14:paraId="6C9D985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4"/>
          <w:u w:val="single"/>
          <w:lang w:eastAsia="zh-CN"/>
        </w:rPr>
        <w:t>如东县公安局县局食堂餐饮服务项目</w:t>
      </w:r>
      <w:r>
        <w:rPr>
          <w:rFonts w:hint="eastAsia" w:ascii="仿宋" w:hAnsi="仿宋" w:eastAsia="仿宋" w:cs="仿宋"/>
          <w:sz w:val="24"/>
          <w:szCs w:val="21"/>
          <w:u w:val="none"/>
          <w:lang w:eastAsia="zh-CN"/>
        </w:rPr>
        <w:t>（</w:t>
      </w:r>
      <w:r>
        <w:rPr>
          <w:rFonts w:hint="eastAsia" w:ascii="仿宋" w:hAnsi="仿宋" w:eastAsia="仿宋" w:cs="仿宋"/>
          <w:sz w:val="24"/>
          <w:szCs w:val="21"/>
          <w:u w:val="none"/>
          <w:lang w:val="en-US" w:eastAsia="zh-CN"/>
        </w:rPr>
        <w:t>项目名称</w:t>
      </w:r>
      <w:r>
        <w:rPr>
          <w:rFonts w:hint="eastAsia" w:ascii="仿宋" w:hAnsi="仿宋" w:eastAsia="仿宋" w:cs="仿宋"/>
          <w:sz w:val="24"/>
          <w:szCs w:val="21"/>
          <w:u w:val="none"/>
          <w:lang w:eastAsia="zh-CN"/>
        </w:rPr>
        <w:t>）</w:t>
      </w:r>
      <w:r>
        <w:rPr>
          <w:rFonts w:hint="eastAsia" w:ascii="仿宋" w:hAnsi="仿宋" w:eastAsia="仿宋" w:cs="仿宋"/>
          <w:sz w:val="24"/>
          <w:szCs w:val="21"/>
        </w:rPr>
        <w:t>磋商文件，正式授权下述</w:t>
      </w:r>
      <w:r>
        <w:rPr>
          <w:rFonts w:hint="eastAsia" w:ascii="仿宋" w:hAnsi="仿宋" w:eastAsia="仿宋" w:cs="仿宋"/>
          <w:sz w:val="24"/>
          <w:szCs w:val="21"/>
          <w:lang w:val="en-US" w:eastAsia="zh-CN"/>
        </w:rPr>
        <w:t>被授权人</w:t>
      </w:r>
      <w:r>
        <w:rPr>
          <w:rFonts w:hint="eastAsia" w:ascii="仿宋" w:hAnsi="仿宋" w:eastAsia="仿宋" w:cs="仿宋"/>
          <w:sz w:val="24"/>
          <w:szCs w:val="21"/>
        </w:rPr>
        <w:t>______(姓名)代表我方______________（供应商的名称），全权处理本次项目磋商的有关事宜。</w:t>
      </w:r>
    </w:p>
    <w:p w14:paraId="3B446A4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据此函，</w:t>
      </w:r>
      <w:r>
        <w:rPr>
          <w:rFonts w:hint="eastAsia" w:ascii="仿宋" w:hAnsi="仿宋" w:eastAsia="仿宋" w:cs="仿宋"/>
          <w:sz w:val="24"/>
          <w:szCs w:val="21"/>
          <w:lang w:val="en-US" w:eastAsia="zh-CN"/>
        </w:rPr>
        <w:t>被授权人</w:t>
      </w:r>
      <w:r>
        <w:rPr>
          <w:rFonts w:hint="eastAsia" w:ascii="仿宋" w:hAnsi="仿宋" w:eastAsia="仿宋" w:cs="仿宋"/>
          <w:sz w:val="24"/>
          <w:szCs w:val="21"/>
        </w:rPr>
        <w:t>__________</w:t>
      </w:r>
      <w:r>
        <w:rPr>
          <w:rFonts w:hint="eastAsia" w:ascii="仿宋" w:hAnsi="仿宋" w:eastAsia="仿宋" w:cs="仿宋"/>
          <w:sz w:val="24"/>
          <w:szCs w:val="21"/>
          <w:lang w:eastAsia="zh-CN"/>
        </w:rPr>
        <w:t>（</w:t>
      </w:r>
      <w:r>
        <w:rPr>
          <w:rFonts w:hint="eastAsia" w:ascii="仿宋" w:hAnsi="仿宋" w:eastAsia="仿宋" w:cs="仿宋"/>
          <w:sz w:val="24"/>
          <w:szCs w:val="21"/>
          <w:lang w:val="en-US" w:eastAsia="zh-CN"/>
        </w:rPr>
        <w:t>姓名</w:t>
      </w:r>
      <w:r>
        <w:rPr>
          <w:rFonts w:hint="eastAsia" w:ascii="仿宋" w:hAnsi="仿宋" w:eastAsia="仿宋" w:cs="仿宋"/>
          <w:sz w:val="24"/>
          <w:szCs w:val="21"/>
          <w:lang w:eastAsia="zh-CN"/>
        </w:rPr>
        <w:t>）</w:t>
      </w:r>
      <w:r>
        <w:rPr>
          <w:rFonts w:hint="eastAsia" w:ascii="仿宋" w:hAnsi="仿宋" w:eastAsia="仿宋" w:cs="仿宋"/>
          <w:sz w:val="24"/>
          <w:szCs w:val="21"/>
        </w:rPr>
        <w:t>兹宣布同意如下：</w:t>
      </w:r>
    </w:p>
    <w:p w14:paraId="4BD4CD61">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799AE37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0A61A27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6E1F86BA">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8F5E53C">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4946BF85">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0B30D1EA">
      <w:pPr>
        <w:keepNext w:val="0"/>
        <w:keepLines w:val="0"/>
        <w:pageBreakBefore w:val="0"/>
        <w:widowControl w:val="0"/>
        <w:kinsoku/>
        <w:wordWrap/>
        <w:overflowPunct/>
        <w:topLinePunct w:val="0"/>
        <w:autoSpaceDE/>
        <w:autoSpaceDN/>
        <w:bidi w:val="0"/>
        <w:adjustRightInd w:val="0"/>
        <w:snapToGrid w:val="0"/>
        <w:spacing w:line="440" w:lineRule="exact"/>
        <w:ind w:left="425"/>
        <w:jc w:val="left"/>
        <w:textAlignment w:val="baseline"/>
        <w:rPr>
          <w:rFonts w:hint="eastAsia" w:ascii="仿宋" w:hAnsi="仿宋" w:eastAsia="仿宋" w:cs="仿宋"/>
          <w:sz w:val="24"/>
          <w:szCs w:val="21"/>
        </w:rPr>
      </w:pPr>
      <w:r>
        <w:rPr>
          <w:rFonts w:hint="eastAsia" w:ascii="仿宋" w:hAnsi="仿宋" w:eastAsia="仿宋" w:cs="仿宋"/>
          <w:sz w:val="24"/>
          <w:szCs w:val="21"/>
        </w:rPr>
        <w:t>7.我方与本磋商有关的正式通讯地址为：</w:t>
      </w:r>
    </w:p>
    <w:p w14:paraId="4F192307">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地          址：</w:t>
      </w:r>
    </w:p>
    <w:p w14:paraId="0D34A2FA">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邮          编：</w:t>
      </w:r>
    </w:p>
    <w:p w14:paraId="76B28E7B">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电          话：</w:t>
      </w:r>
    </w:p>
    <w:p w14:paraId="084901EE">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传          真：</w:t>
      </w:r>
    </w:p>
    <w:p w14:paraId="1E66127E">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供应商开户行：</w:t>
      </w:r>
    </w:p>
    <w:p w14:paraId="129BB32F">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 xml:space="preserve">账          号： </w:t>
      </w:r>
    </w:p>
    <w:p w14:paraId="619BC1B1">
      <w:pPr>
        <w:keepNext w:val="0"/>
        <w:keepLines w:val="0"/>
        <w:pageBreakBefore w:val="0"/>
        <w:widowControl w:val="0"/>
        <w:kinsoku/>
        <w:wordWrap/>
        <w:overflowPunct/>
        <w:topLinePunct w:val="0"/>
        <w:autoSpaceDE/>
        <w:autoSpaceDN/>
        <w:bidi w:val="0"/>
        <w:adjustRightInd w:val="0"/>
        <w:snapToGrid w:val="0"/>
        <w:spacing w:line="440" w:lineRule="exact"/>
        <w:ind w:firstLine="240" w:firstLineChars="100"/>
        <w:jc w:val="center"/>
        <w:rPr>
          <w:rFonts w:hint="eastAsia" w:ascii="仿宋" w:hAnsi="仿宋" w:eastAsia="仿宋" w:cs="仿宋"/>
          <w:bCs/>
          <w:sz w:val="24"/>
          <w:szCs w:val="21"/>
        </w:rPr>
      </w:pPr>
    </w:p>
    <w:p w14:paraId="7559F651">
      <w:pPr>
        <w:spacing w:before="82" w:line="221" w:lineRule="auto"/>
        <w:ind w:firstLine="2990"/>
        <w:rPr>
          <w:rFonts w:ascii="仿宋" w:hAnsi="仿宋" w:eastAsia="仿宋" w:cs="仿宋"/>
          <w:sz w:val="24"/>
        </w:rPr>
      </w:pPr>
      <w:r>
        <w:rPr>
          <w:rFonts w:hint="eastAsia" w:ascii="仿宋" w:hAnsi="仿宋" w:eastAsia="仿宋" w:cs="仿宋"/>
          <w:spacing w:val="-5"/>
          <w:sz w:val="24"/>
        </w:rPr>
        <w:t>投标人（加盖CA电子公章</w:t>
      </w:r>
      <w:r>
        <w:rPr>
          <w:rFonts w:hint="eastAsia" w:ascii="仿宋" w:hAnsi="仿宋" w:eastAsia="仿宋" w:cs="仿宋"/>
          <w:spacing w:val="-1"/>
          <w:sz w:val="24"/>
        </w:rPr>
        <w:t>）：</w:t>
      </w:r>
    </w:p>
    <w:p w14:paraId="7FD8CF2F">
      <w:pPr>
        <w:jc w:val="center"/>
        <w:rPr>
          <w:rFonts w:ascii="仿宋" w:hAnsi="仿宋" w:eastAsia="仿宋" w:cs="仿宋"/>
          <w:spacing w:val="-12"/>
          <w:sz w:val="24"/>
        </w:rPr>
      </w:pPr>
    </w:p>
    <w:p w14:paraId="008A658B">
      <w:pPr>
        <w:jc w:val="center"/>
        <w:rPr>
          <w:rFonts w:ascii="仿宋" w:hAnsi="仿宋" w:eastAsia="仿宋" w:cs="仿宋"/>
          <w:sz w:val="24"/>
        </w:rPr>
      </w:pPr>
      <w:r>
        <w:rPr>
          <w:rFonts w:hint="eastAsia" w:ascii="仿宋" w:hAnsi="仿宋" w:eastAsia="仿宋" w:cs="仿宋"/>
          <w:spacing w:val="-12"/>
          <w:sz w:val="24"/>
        </w:rPr>
        <w:t xml:space="preserve">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日期：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年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月</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日</w:t>
      </w:r>
    </w:p>
    <w:p w14:paraId="40B472BD">
      <w:pPr>
        <w:spacing w:line="560" w:lineRule="exact"/>
        <w:ind w:firstLine="240" w:firstLineChars="100"/>
        <w:jc w:val="center"/>
        <w:rPr>
          <w:rFonts w:hint="eastAsia" w:ascii="仿宋" w:hAnsi="仿宋" w:eastAsia="仿宋" w:cs="仿宋"/>
          <w:bCs/>
          <w:sz w:val="24"/>
          <w:szCs w:val="21"/>
        </w:rPr>
      </w:pPr>
    </w:p>
    <w:p w14:paraId="72B8357E">
      <w:pPr>
        <w:spacing w:line="560" w:lineRule="exact"/>
        <w:ind w:firstLine="240" w:firstLineChars="100"/>
        <w:jc w:val="center"/>
        <w:rPr>
          <w:rFonts w:hint="eastAsia" w:ascii="仿宋" w:hAnsi="仿宋" w:eastAsia="仿宋" w:cs="仿宋"/>
          <w:bCs/>
          <w:sz w:val="24"/>
          <w:szCs w:val="21"/>
        </w:rPr>
      </w:pPr>
    </w:p>
    <w:p w14:paraId="3EB48FD6">
      <w:pPr>
        <w:rPr>
          <w:rFonts w:hint="eastAsia" w:ascii="仿宋" w:hAnsi="仿宋" w:eastAsia="仿宋" w:cs="仿宋"/>
          <w:b/>
          <w:sz w:val="28"/>
          <w:szCs w:val="28"/>
        </w:rPr>
      </w:pPr>
    </w:p>
    <w:p w14:paraId="49A75A22">
      <w:pPr>
        <w:rPr>
          <w:rFonts w:hint="eastAsia" w:ascii="仿宋" w:hAnsi="仿宋" w:eastAsia="仿宋" w:cs="仿宋"/>
          <w:b/>
          <w:sz w:val="28"/>
          <w:szCs w:val="28"/>
        </w:rPr>
      </w:pPr>
    </w:p>
    <w:p w14:paraId="37592420">
      <w:pPr>
        <w:rPr>
          <w:rFonts w:ascii="仿宋" w:hAnsi="仿宋" w:eastAsia="仿宋" w:cs="仿宋"/>
          <w:b/>
          <w:sz w:val="28"/>
          <w:szCs w:val="28"/>
        </w:rPr>
      </w:pPr>
      <w:r>
        <w:rPr>
          <w:rFonts w:hint="eastAsia" w:ascii="仿宋" w:hAnsi="仿宋" w:eastAsia="仿宋" w:cs="仿宋"/>
          <w:b/>
          <w:sz w:val="28"/>
          <w:szCs w:val="28"/>
        </w:rPr>
        <w:t xml:space="preserve">附件6 </w:t>
      </w:r>
    </w:p>
    <w:p w14:paraId="38176CE6">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p>
    <w:p w14:paraId="5587A75F">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lang w:eastAsia="zh-CN"/>
        </w:rPr>
        <w:t>如东县公安局</w:t>
      </w:r>
      <w:r>
        <w:rPr>
          <w:rFonts w:hint="eastAsia" w:ascii="仿宋" w:hAnsi="仿宋" w:eastAsia="仿宋" w:cs="仿宋"/>
          <w:sz w:val="24"/>
          <w:szCs w:val="24"/>
        </w:rPr>
        <w:t>的</w:t>
      </w:r>
      <w:r>
        <w:rPr>
          <w:rFonts w:hint="eastAsia" w:ascii="仿宋" w:hAnsi="仿宋" w:eastAsia="仿宋" w:cs="仿宋"/>
          <w:sz w:val="24"/>
          <w:szCs w:val="24"/>
          <w:u w:val="single"/>
          <w:lang w:eastAsia="zh-CN"/>
        </w:rPr>
        <w:t>如东县公安局县局食堂餐饮服务项目</w:t>
      </w:r>
      <w:r>
        <w:rPr>
          <w:rFonts w:hint="eastAsia" w:ascii="仿宋" w:hAnsi="仿宋" w:eastAsia="仿宋" w:cs="仿宋"/>
          <w:sz w:val="24"/>
          <w:szCs w:val="24"/>
          <w:u w:val="none"/>
        </w:rPr>
        <w:t>（项目名称）</w:t>
      </w:r>
      <w:r>
        <w:rPr>
          <w:rFonts w:hint="eastAsia" w:ascii="仿宋" w:hAnsi="仿宋" w:eastAsia="仿宋" w:cs="仿宋"/>
          <w:sz w:val="24"/>
          <w:szCs w:val="24"/>
        </w:rPr>
        <w:t>采购活动，服务全部由符合政策要求的中小企业承接。相关企业（含联合体中的中小企业、签订分包意向协议的中小企业）的具体情况如下：</w:t>
      </w:r>
    </w:p>
    <w:p w14:paraId="64C4A8E3">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 □小型企业 □微型企业）；</w:t>
      </w:r>
    </w:p>
    <w:p w14:paraId="4908D835">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 □小型企业 □微型企业）；</w:t>
      </w:r>
    </w:p>
    <w:p w14:paraId="63507227">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w:t>
      </w:r>
    </w:p>
    <w:p w14:paraId="2E4F5675">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2042DD18">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47B08EE7">
      <w:pPr>
        <w:keepNext w:val="0"/>
        <w:keepLines w:val="0"/>
        <w:pageBreakBefore w:val="0"/>
        <w:widowControl w:val="0"/>
        <w:kinsoku/>
        <w:wordWrap/>
        <w:overflowPunct/>
        <w:topLinePunct w:val="0"/>
        <w:autoSpaceDE/>
        <w:autoSpaceDN/>
        <w:bidi w:val="0"/>
        <w:adjustRightInd w:val="0"/>
        <w:snapToGrid w:val="0"/>
        <w:spacing w:line="400" w:lineRule="exact"/>
        <w:ind w:right="720"/>
        <w:textAlignment w:val="auto"/>
        <w:rPr>
          <w:rFonts w:ascii="仿宋" w:hAnsi="仿宋" w:eastAsia="仿宋" w:cs="仿宋"/>
          <w:sz w:val="24"/>
          <w:szCs w:val="24"/>
        </w:rPr>
      </w:pPr>
    </w:p>
    <w:p w14:paraId="2E26D4FE">
      <w:pPr>
        <w:keepNext w:val="0"/>
        <w:keepLines w:val="0"/>
        <w:pageBreakBefore w:val="0"/>
        <w:widowControl w:val="0"/>
        <w:kinsoku/>
        <w:wordWrap/>
        <w:overflowPunct/>
        <w:topLinePunct w:val="0"/>
        <w:autoSpaceDE/>
        <w:autoSpaceDN/>
        <w:bidi w:val="0"/>
        <w:adjustRightInd w:val="0"/>
        <w:snapToGrid w:val="0"/>
        <w:spacing w:line="400" w:lineRule="exact"/>
        <w:ind w:right="180" w:firstLine="360" w:firstLineChars="150"/>
        <w:jc w:val="center"/>
        <w:textAlignment w:val="auto"/>
        <w:rPr>
          <w:rFonts w:ascii="仿宋" w:hAnsi="仿宋" w:eastAsia="仿宋" w:cs="仿宋"/>
          <w:sz w:val="24"/>
          <w:szCs w:val="24"/>
        </w:rPr>
      </w:pPr>
      <w:r>
        <w:rPr>
          <w:rFonts w:hint="eastAsia" w:ascii="仿宋" w:hAnsi="仿宋" w:eastAsia="仿宋" w:cs="仿宋"/>
          <w:sz w:val="24"/>
          <w:szCs w:val="21"/>
        </w:rPr>
        <w:t>供应商全称</w:t>
      </w:r>
      <w:r>
        <w:rPr>
          <w:rFonts w:hint="eastAsia" w:ascii="仿宋" w:hAnsi="仿宋" w:eastAsia="仿宋" w:cs="仿宋"/>
          <w:sz w:val="24"/>
          <w:szCs w:val="24"/>
        </w:rPr>
        <w:t>（加盖CA电子公章）：</w:t>
      </w:r>
    </w:p>
    <w:p w14:paraId="16FA4AB3">
      <w:pPr>
        <w:keepNext w:val="0"/>
        <w:keepLines w:val="0"/>
        <w:pageBreakBefore w:val="0"/>
        <w:widowControl w:val="0"/>
        <w:kinsoku/>
        <w:wordWrap/>
        <w:overflowPunct/>
        <w:topLinePunct w:val="0"/>
        <w:autoSpaceDE/>
        <w:autoSpaceDN/>
        <w:bidi w:val="0"/>
        <w:adjustRightInd w:val="0"/>
        <w:snapToGrid w:val="0"/>
        <w:spacing w:line="400" w:lineRule="exact"/>
        <w:ind w:right="480" w:firstLine="5880" w:firstLineChars="2450"/>
        <w:textAlignment w:val="auto"/>
        <w:rPr>
          <w:rFonts w:ascii="仿宋" w:hAnsi="仿宋" w:eastAsia="仿宋" w:cs="仿宋"/>
          <w:sz w:val="24"/>
          <w:szCs w:val="24"/>
        </w:rPr>
      </w:pPr>
      <w:r>
        <w:rPr>
          <w:rFonts w:hint="eastAsia" w:ascii="仿宋" w:hAnsi="仿宋" w:eastAsia="仿宋" w:cs="仿宋"/>
          <w:sz w:val="24"/>
          <w:szCs w:val="24"/>
        </w:rPr>
        <w:t>日  期：</w:t>
      </w:r>
    </w:p>
    <w:p w14:paraId="589582A5">
      <w:pPr>
        <w:keepNext w:val="0"/>
        <w:keepLines w:val="0"/>
        <w:pageBreakBefore w:val="0"/>
        <w:widowControl w:val="0"/>
        <w:kinsoku/>
        <w:wordWrap/>
        <w:overflowPunct/>
        <w:topLinePunct w:val="0"/>
        <w:autoSpaceDE/>
        <w:autoSpaceDN/>
        <w:bidi w:val="0"/>
        <w:adjustRightInd w:val="0"/>
        <w:snapToGrid w:val="0"/>
        <w:spacing w:line="400" w:lineRule="exact"/>
        <w:ind w:firstLine="240" w:firstLineChars="100"/>
        <w:textAlignment w:val="auto"/>
        <w:rPr>
          <w:rFonts w:ascii="仿宋" w:hAnsi="仿宋" w:eastAsia="仿宋" w:cs="仿宋"/>
          <w:sz w:val="24"/>
          <w:szCs w:val="24"/>
        </w:rPr>
      </w:pPr>
    </w:p>
    <w:p w14:paraId="341450F1">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备注：</w:t>
      </w:r>
    </w:p>
    <w:p w14:paraId="0484C2F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1、如项目类型为“服务”，请按照此格式填写。</w:t>
      </w:r>
    </w:p>
    <w:p w14:paraId="79568F3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2、从业人员、营业收入、资产总额填报上一年度数据，无上一年度数据的新成立企业可不填报。</w:t>
      </w:r>
    </w:p>
    <w:p w14:paraId="4A88A53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3、专门面向中小微型企业采购的项目，供应商如不提供此声明函，则不能通过资格审查；非专门面向中小微型企业采购的项目，供应商如不提供此声明函，价格将不做相应扣除。</w:t>
      </w:r>
    </w:p>
    <w:p w14:paraId="4C160C7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4、供应商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0FAB9C0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42BAAB3E">
      <w:pPr>
        <w:pStyle w:val="15"/>
        <w:rPr>
          <w:rFonts w:hint="eastAsia"/>
          <w:b/>
          <w:bCs/>
          <w:sz w:val="21"/>
          <w:szCs w:val="21"/>
        </w:rPr>
        <w:sectPr>
          <w:footerReference r:id="rId4" w:type="first"/>
          <w:footerReference r:id="rId3" w:type="default"/>
          <w:pgSz w:w="11907" w:h="16840"/>
          <w:pgMar w:top="1440" w:right="1080" w:bottom="1440" w:left="1080" w:header="851" w:footer="992" w:gutter="0"/>
          <w:cols w:space="720" w:num="1"/>
          <w:docGrid w:linePitch="360" w:charSpace="0"/>
        </w:sectPr>
      </w:pPr>
      <w:r>
        <w:rPr>
          <w:rFonts w:hint="eastAsia"/>
          <w:b/>
          <w:bCs/>
          <w:sz w:val="21"/>
          <w:szCs w:val="21"/>
          <w:lang w:val="en-US" w:eastAsia="zh-CN"/>
        </w:rPr>
        <w:t>注：</w:t>
      </w:r>
      <w:r>
        <w:rPr>
          <w:rFonts w:hint="eastAsia"/>
          <w:b/>
          <w:bCs/>
          <w:sz w:val="21"/>
          <w:szCs w:val="21"/>
        </w:rPr>
        <w:t>中小企业划型标准详见：https://www.ccgp.gov.cn/zcfg/mof/201310/t20131029_3587674.htm</w:t>
      </w:r>
    </w:p>
    <w:p w14:paraId="46FC5FA8">
      <w:pPr>
        <w:spacing w:line="400" w:lineRule="exact"/>
        <w:rPr>
          <w:sz w:val="28"/>
          <w:szCs w:val="28"/>
        </w:rPr>
      </w:pPr>
      <w:r>
        <w:rPr>
          <w:rFonts w:hint="eastAsia" w:ascii="仿宋" w:hAnsi="仿宋" w:eastAsia="仿宋" w:cs="仿宋"/>
          <w:b/>
          <w:color w:val="000000"/>
          <w:sz w:val="28"/>
          <w:szCs w:val="28"/>
        </w:rPr>
        <w:t xml:space="preserve">附件7 </w:t>
      </w:r>
    </w:p>
    <w:p w14:paraId="74689AB6">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p>
    <w:p w14:paraId="35E2A314">
      <w:pPr>
        <w:pStyle w:val="15"/>
      </w:pPr>
    </w:p>
    <w:p w14:paraId="354F4E95">
      <w:pPr>
        <w:keepNext w:val="0"/>
        <w:keepLines w:val="0"/>
        <w:pageBreakBefore w:val="0"/>
        <w:widowControl w:val="0"/>
        <w:kinsoku/>
        <w:wordWrap/>
        <w:overflowPunct/>
        <w:topLinePunct w:val="0"/>
        <w:autoSpaceDE/>
        <w:autoSpaceDN/>
        <w:bidi w:val="0"/>
        <w:adjustRightInd w:val="0"/>
        <w:snapToGrid w:val="0"/>
        <w:spacing w:line="440" w:lineRule="exact"/>
        <w:ind w:firstLine="360" w:firstLineChars="150"/>
        <w:textAlignment w:val="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单位的</w:t>
      </w:r>
      <w:r>
        <w:rPr>
          <w:rFonts w:hint="eastAsia" w:ascii="仿宋" w:hAnsi="仿宋" w:eastAsia="仿宋" w:cs="仿宋"/>
          <w:b/>
          <w:bCs/>
          <w:color w:val="000000" w:themeColor="text1"/>
          <w:sz w:val="24"/>
          <w:szCs w:val="24"/>
          <w14:textFill>
            <w14:solidFill>
              <w14:schemeClr w14:val="tx1"/>
            </w14:solidFill>
          </w14:textFill>
        </w:rPr>
        <w:t>采购文件编号</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项目采购活动由本单位提供服务。</w:t>
      </w:r>
    </w:p>
    <w:p w14:paraId="099E4A04">
      <w:pPr>
        <w:keepNext w:val="0"/>
        <w:keepLines w:val="0"/>
        <w:pageBreakBefore w:val="0"/>
        <w:widowControl w:val="0"/>
        <w:kinsoku/>
        <w:wordWrap/>
        <w:overflowPunct/>
        <w:topLinePunct w:val="0"/>
        <w:autoSpaceDE/>
        <w:autoSpaceDN/>
        <w:bidi w:val="0"/>
        <w:adjustRightInd w:val="0"/>
        <w:snapToGrid w:val="0"/>
        <w:spacing w:line="440" w:lineRule="exact"/>
        <w:ind w:firstLine="360" w:firstLineChars="150"/>
        <w:textAlignment w:val="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3D78583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p>
    <w:p w14:paraId="4CE7970D">
      <w:pPr>
        <w:pStyle w:val="15"/>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pPr>
    </w:p>
    <w:p w14:paraId="680B299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备注：</w:t>
      </w:r>
    </w:p>
    <w:p w14:paraId="394986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4"/>
        </w:rPr>
        <w:t>1、如项目类型为“服务”，请按照此格式填写。</w:t>
      </w:r>
    </w:p>
    <w:p w14:paraId="2DC81D9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2、专门面向中小微型企业采购的项目，供应商为残疾人福利性单位并提供服务的必须提供此声明函，否则将不能通过资格审查。</w:t>
      </w:r>
    </w:p>
    <w:p w14:paraId="69E4DAE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3、 非专门面向中小微型企业采购的项目，供应商如不提供此声明函，价格将不做相应扣除。</w:t>
      </w:r>
    </w:p>
    <w:p w14:paraId="1A43694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5658B823">
      <w:pPr>
        <w:keepNext w:val="0"/>
        <w:keepLines w:val="0"/>
        <w:pageBreakBefore w:val="0"/>
        <w:widowControl w:val="0"/>
        <w:kinsoku/>
        <w:wordWrap/>
        <w:overflowPunct/>
        <w:topLinePunct w:val="0"/>
        <w:autoSpaceDE/>
        <w:autoSpaceDN/>
        <w:bidi w:val="0"/>
        <w:adjustRightInd w:val="0"/>
        <w:snapToGrid w:val="0"/>
        <w:spacing w:line="440" w:lineRule="exact"/>
        <w:ind w:firstLine="624" w:firstLineChars="200"/>
        <w:textAlignment w:val="auto"/>
        <w:rPr>
          <w:rFonts w:ascii="仿宋" w:hAnsi="仿宋" w:eastAsia="仿宋" w:cs="仿宋"/>
          <w:spacing w:val="6"/>
          <w:sz w:val="30"/>
          <w:szCs w:val="30"/>
        </w:rPr>
      </w:pPr>
    </w:p>
    <w:p w14:paraId="6950B91A">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 xml:space="preserve">         供应商全称（加盖CA电子公章）：</w:t>
      </w:r>
    </w:p>
    <w:p w14:paraId="58B7B387">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hint="eastAsia" w:ascii="仿宋" w:hAnsi="仿宋" w:eastAsia="仿宋" w:cs="仿宋"/>
          <w:sz w:val="24"/>
          <w:szCs w:val="21"/>
        </w:rPr>
      </w:pPr>
      <w:r>
        <w:rPr>
          <w:rFonts w:hint="eastAsia" w:ascii="仿宋" w:hAnsi="仿宋" w:eastAsia="仿宋" w:cs="仿宋"/>
          <w:sz w:val="24"/>
          <w:szCs w:val="21"/>
        </w:rPr>
        <w:t xml:space="preserve">        </w:t>
      </w:r>
    </w:p>
    <w:p w14:paraId="3D92698F">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081A08F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仿宋" w:hAnsi="仿宋" w:eastAsia="仿宋" w:cs="仿宋"/>
          <w:b/>
          <w:sz w:val="32"/>
          <w:szCs w:val="32"/>
        </w:rPr>
      </w:pPr>
    </w:p>
    <w:p w14:paraId="15827EC5">
      <w:pPr>
        <w:snapToGrid w:val="0"/>
        <w:spacing w:line="420" w:lineRule="exact"/>
        <w:rPr>
          <w:rFonts w:ascii="仿宋" w:hAnsi="仿宋" w:eastAsia="仿宋" w:cs="仿宋"/>
          <w:b/>
          <w:sz w:val="24"/>
          <w:szCs w:val="24"/>
        </w:rPr>
      </w:pPr>
    </w:p>
    <w:p w14:paraId="6CAAB872">
      <w:pPr>
        <w:snapToGrid w:val="0"/>
        <w:spacing w:line="420" w:lineRule="exact"/>
        <w:rPr>
          <w:rFonts w:ascii="仿宋" w:hAnsi="仿宋" w:eastAsia="仿宋" w:cs="仿宋"/>
          <w:b/>
          <w:sz w:val="24"/>
          <w:szCs w:val="24"/>
        </w:rPr>
      </w:pPr>
    </w:p>
    <w:p w14:paraId="416955BD">
      <w:pPr>
        <w:snapToGrid w:val="0"/>
        <w:spacing w:line="420" w:lineRule="exact"/>
        <w:rPr>
          <w:rFonts w:ascii="仿宋" w:hAnsi="仿宋" w:eastAsia="仿宋" w:cs="仿宋"/>
          <w:b/>
          <w:sz w:val="24"/>
          <w:szCs w:val="24"/>
        </w:rPr>
      </w:pPr>
    </w:p>
    <w:p w14:paraId="78544575">
      <w:pPr>
        <w:spacing w:line="588" w:lineRule="exact"/>
        <w:jc w:val="center"/>
        <w:rPr>
          <w:rFonts w:hint="eastAsia" w:ascii="仿宋" w:hAnsi="仿宋" w:eastAsia="仿宋" w:cs="仿宋"/>
          <w:b/>
          <w:color w:val="000000"/>
          <w:sz w:val="24"/>
          <w:szCs w:val="24"/>
        </w:rPr>
      </w:pPr>
    </w:p>
    <w:p w14:paraId="355CB58F">
      <w:pPr>
        <w:spacing w:line="588" w:lineRule="exact"/>
        <w:jc w:val="center"/>
        <w:rPr>
          <w:rFonts w:hint="eastAsia" w:ascii="仿宋" w:hAnsi="仿宋" w:eastAsia="仿宋" w:cs="仿宋"/>
          <w:b/>
          <w:color w:val="000000"/>
          <w:sz w:val="24"/>
          <w:szCs w:val="24"/>
        </w:rPr>
      </w:pPr>
    </w:p>
    <w:p w14:paraId="3E4FDE2D">
      <w:pPr>
        <w:snapToGrid w:val="0"/>
        <w:spacing w:line="420" w:lineRule="exact"/>
        <w:jc w:val="both"/>
        <w:outlineLvl w:val="3"/>
        <w:rPr>
          <w:rFonts w:hint="eastAsia" w:ascii="仿宋" w:hAnsi="仿宋" w:eastAsia="仿宋" w:cs="仿宋"/>
          <w:b/>
          <w:sz w:val="28"/>
          <w:szCs w:val="28"/>
        </w:rPr>
      </w:pPr>
    </w:p>
    <w:p w14:paraId="4B805568">
      <w:pPr>
        <w:snapToGrid w:val="0"/>
        <w:spacing w:line="420" w:lineRule="exact"/>
        <w:jc w:val="both"/>
        <w:outlineLvl w:val="3"/>
        <w:rPr>
          <w:rFonts w:hint="eastAsia" w:ascii="仿宋" w:hAnsi="仿宋" w:eastAsia="仿宋" w:cs="仿宋"/>
          <w:b/>
          <w:sz w:val="28"/>
          <w:szCs w:val="28"/>
        </w:rPr>
      </w:pPr>
    </w:p>
    <w:p w14:paraId="3B1C1AF8">
      <w:pPr>
        <w:snapToGrid w:val="0"/>
        <w:spacing w:line="420" w:lineRule="exact"/>
        <w:jc w:val="both"/>
        <w:outlineLvl w:val="3"/>
        <w:rPr>
          <w:rFonts w:hint="eastAsia" w:ascii="仿宋" w:hAnsi="仿宋" w:eastAsia="仿宋" w:cs="仿宋"/>
          <w:b/>
          <w:sz w:val="28"/>
          <w:szCs w:val="28"/>
        </w:rPr>
      </w:pPr>
    </w:p>
    <w:p w14:paraId="48D1E70D">
      <w:pPr>
        <w:snapToGrid w:val="0"/>
        <w:spacing w:line="420" w:lineRule="exact"/>
        <w:jc w:val="both"/>
        <w:outlineLvl w:val="3"/>
        <w:rPr>
          <w:rFonts w:hint="eastAsia" w:ascii="仿宋" w:hAnsi="仿宋" w:eastAsia="仿宋" w:cs="仿宋"/>
          <w:b/>
          <w:sz w:val="28"/>
          <w:szCs w:val="28"/>
          <w:lang w:eastAsia="zh-CN"/>
        </w:rPr>
      </w:pPr>
      <w:r>
        <w:rPr>
          <w:rFonts w:hint="eastAsia" w:ascii="仿宋" w:hAnsi="仿宋" w:eastAsia="仿宋" w:cs="仿宋"/>
          <w:b/>
          <w:sz w:val="28"/>
          <w:szCs w:val="28"/>
        </w:rPr>
        <w:t>附件</w:t>
      </w:r>
      <w:r>
        <w:rPr>
          <w:rFonts w:hint="eastAsia" w:ascii="仿宋" w:hAnsi="仿宋" w:eastAsia="仿宋" w:cs="仿宋"/>
          <w:b/>
          <w:sz w:val="28"/>
          <w:szCs w:val="28"/>
          <w:lang w:val="en-US" w:eastAsia="zh-CN"/>
        </w:rPr>
        <w:t>8</w:t>
      </w:r>
    </w:p>
    <w:p w14:paraId="5FB3AF00">
      <w:pPr>
        <w:snapToGrid w:val="0"/>
        <w:spacing w:line="420" w:lineRule="exact"/>
        <w:jc w:val="center"/>
        <w:outlineLvl w:val="3"/>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监狱和戒毒企业证明材料</w:t>
      </w:r>
    </w:p>
    <w:p w14:paraId="135F5E49">
      <w:pPr>
        <w:snapToGrid w:val="0"/>
        <w:spacing w:line="420" w:lineRule="exact"/>
        <w:ind w:firstLine="495" w:firstLineChars="177"/>
        <w:rPr>
          <w:rFonts w:hint="eastAsia" w:ascii="仿宋" w:hAnsi="仿宋" w:eastAsia="仿宋" w:cs="仿宋"/>
          <w:sz w:val="28"/>
          <w:szCs w:val="28"/>
          <w:highlight w:val="none"/>
        </w:rPr>
      </w:pPr>
    </w:p>
    <w:p w14:paraId="6D61D385">
      <w:pPr>
        <w:snapToGrid w:val="0"/>
        <w:spacing w:line="420" w:lineRule="exact"/>
        <w:jc w:val="center"/>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（格式自拟）</w:t>
      </w:r>
    </w:p>
    <w:p w14:paraId="23937564">
      <w:pPr>
        <w:snapToGrid w:val="0"/>
        <w:spacing w:line="420" w:lineRule="exact"/>
        <w:ind w:firstLine="495" w:firstLineChars="177"/>
        <w:rPr>
          <w:rFonts w:hint="eastAsia" w:ascii="仿宋" w:hAnsi="仿宋" w:eastAsia="仿宋" w:cs="仿宋"/>
          <w:sz w:val="28"/>
          <w:szCs w:val="28"/>
          <w:highlight w:val="none"/>
        </w:rPr>
      </w:pPr>
    </w:p>
    <w:p w14:paraId="086E00F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根据《财政部司法部关于政府采购支持监狱企业发展有关问题的通知》（财库〔20</w:t>
      </w:r>
      <w:r>
        <w:rPr>
          <w:rFonts w:hint="eastAsia" w:ascii="仿宋" w:hAnsi="仿宋" w:eastAsia="仿宋" w:cs="仿宋"/>
          <w:color w:val="auto"/>
          <w:sz w:val="24"/>
          <w:szCs w:val="21"/>
          <w:lang w:val="en-US" w:eastAsia="zh-CN"/>
        </w:rPr>
        <w:t>14</w:t>
      </w:r>
      <w:r>
        <w:rPr>
          <w:rFonts w:hint="eastAsia" w:ascii="仿宋" w:hAnsi="仿宋" w:eastAsia="仿宋" w:cs="仿宋"/>
          <w:color w:val="auto"/>
          <w:sz w:val="24"/>
          <w:szCs w:val="21"/>
        </w:rPr>
        <w:t>〕68号），监狱企业参加政府采购活动时，应当提供由省级以上监狱管理局、戒毒管理局（含新疆生产建设兵团）出具的，供应商属于监狱企业的证明文件。</w:t>
      </w:r>
    </w:p>
    <w:p w14:paraId="59A323A1">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1"/>
          <w:highlight w:val="none"/>
        </w:rPr>
      </w:pPr>
    </w:p>
    <w:p w14:paraId="200AA04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highlight w:val="none"/>
        </w:rPr>
      </w:pPr>
    </w:p>
    <w:p w14:paraId="26CB5BB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备注：</w:t>
      </w:r>
    </w:p>
    <w:p w14:paraId="7405AFA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1、</w:t>
      </w:r>
      <w:r>
        <w:rPr>
          <w:rFonts w:hint="eastAsia" w:ascii="仿宋" w:hAnsi="仿宋" w:eastAsia="仿宋" w:cs="仿宋"/>
          <w:color w:val="auto"/>
          <w:sz w:val="24"/>
          <w:szCs w:val="24"/>
          <w:highlight w:val="none"/>
        </w:rPr>
        <w:t>专门面向中小微型企业采购的项目，供应商如不提供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，价格将不做相应扣除。</w:t>
      </w:r>
    </w:p>
    <w:p w14:paraId="27F843B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w:t>
      </w:r>
      <w:r>
        <w:rPr>
          <w:rFonts w:hint="eastAsia" w:ascii="仿宋" w:hAnsi="仿宋" w:eastAsia="仿宋" w:cs="仿宋"/>
          <w:color w:val="auto"/>
          <w:sz w:val="24"/>
          <w:szCs w:val="21"/>
          <w:lang w:val="en-US" w:eastAsia="zh-CN"/>
        </w:rPr>
        <w:t>成交</w:t>
      </w:r>
      <w:r>
        <w:rPr>
          <w:rFonts w:hint="eastAsia" w:ascii="仿宋" w:hAnsi="仿宋" w:eastAsia="仿宋" w:cs="仿宋"/>
          <w:color w:val="auto"/>
          <w:sz w:val="24"/>
          <w:szCs w:val="21"/>
        </w:rPr>
        <w:t>供应商为监狱和戒毒企业的，此</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1"/>
        </w:rPr>
        <w:t>将随</w:t>
      </w:r>
      <w:r>
        <w:rPr>
          <w:rFonts w:hint="eastAsia" w:ascii="仿宋" w:hAnsi="仿宋" w:eastAsia="仿宋" w:cs="仿宋"/>
          <w:color w:val="auto"/>
          <w:sz w:val="24"/>
          <w:szCs w:val="21"/>
          <w:lang w:val="en-US" w:eastAsia="zh-CN"/>
        </w:rPr>
        <w:t>成交</w:t>
      </w:r>
      <w:r>
        <w:rPr>
          <w:rFonts w:hint="eastAsia" w:ascii="仿宋" w:hAnsi="仿宋" w:eastAsia="仿宋" w:cs="仿宋"/>
          <w:color w:val="auto"/>
          <w:sz w:val="24"/>
          <w:szCs w:val="21"/>
        </w:rPr>
        <w:t>结果同时公告，接受社会监督。供应商提供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1"/>
        </w:rPr>
        <w:t>内容不实的，属于提供虚假材料谋取</w:t>
      </w:r>
      <w:r>
        <w:rPr>
          <w:rFonts w:hint="eastAsia" w:ascii="仿宋" w:hAnsi="仿宋" w:eastAsia="仿宋" w:cs="仿宋"/>
          <w:color w:val="auto"/>
          <w:sz w:val="24"/>
          <w:szCs w:val="21"/>
          <w:lang w:eastAsia="zh-CN"/>
        </w:rPr>
        <w:t>成交</w:t>
      </w:r>
      <w:r>
        <w:rPr>
          <w:rFonts w:hint="eastAsia" w:ascii="仿宋" w:hAnsi="仿宋" w:eastAsia="仿宋" w:cs="仿宋"/>
          <w:color w:val="auto"/>
          <w:sz w:val="24"/>
          <w:szCs w:val="21"/>
        </w:rPr>
        <w:t>、成交，依照《中华人民共和国政府采购法》等国家有关规定追究相应责任。</w:t>
      </w:r>
    </w:p>
    <w:p w14:paraId="6B02B48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rPr>
      </w:pPr>
    </w:p>
    <w:p w14:paraId="06FADDF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b/>
          <w:sz w:val="32"/>
          <w:szCs w:val="32"/>
          <w:highlight w:val="none"/>
        </w:rPr>
      </w:pPr>
    </w:p>
    <w:p w14:paraId="1B20EDA0">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02F8BD94">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258FF541">
      <w:pPr>
        <w:spacing w:line="560" w:lineRule="exact"/>
        <w:jc w:val="center"/>
        <w:rPr>
          <w:rFonts w:hint="eastAsia" w:ascii="仿宋" w:hAnsi="仿宋" w:eastAsia="仿宋" w:cs="仿宋"/>
          <w:b/>
          <w:sz w:val="32"/>
          <w:szCs w:val="32"/>
          <w:highlight w:val="none"/>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28DA336D">
      <w:pPr>
        <w:spacing w:line="560" w:lineRule="exact"/>
        <w:rPr>
          <w:rFonts w:hint="eastAsia" w:ascii="仿宋" w:hAnsi="仿宋" w:eastAsia="仿宋" w:cs="仿宋"/>
          <w:b/>
          <w:sz w:val="32"/>
          <w:szCs w:val="32"/>
          <w:highlight w:val="none"/>
        </w:rPr>
      </w:pPr>
    </w:p>
    <w:p w14:paraId="4402C68B">
      <w:pPr>
        <w:rPr>
          <w:rFonts w:hint="eastAsia" w:ascii="仿宋" w:hAnsi="仿宋" w:eastAsia="仿宋" w:cs="仿宋"/>
          <w:b/>
          <w:color w:val="auto"/>
          <w:sz w:val="28"/>
          <w:szCs w:val="28"/>
          <w:lang w:val="en-US" w:eastAsia="zh-CN"/>
        </w:rPr>
      </w:pPr>
    </w:p>
    <w:p w14:paraId="457073FF">
      <w:pPr>
        <w:rPr>
          <w:rFonts w:hint="eastAsia" w:ascii="仿宋" w:hAnsi="仿宋" w:eastAsia="仿宋" w:cs="仿宋"/>
          <w:b/>
          <w:color w:val="auto"/>
          <w:sz w:val="28"/>
          <w:szCs w:val="28"/>
          <w:lang w:val="en-US" w:eastAsia="zh-CN"/>
        </w:rPr>
      </w:pPr>
    </w:p>
    <w:p w14:paraId="6517F3B0">
      <w:pPr>
        <w:rPr>
          <w:rFonts w:hint="eastAsia" w:ascii="仿宋" w:hAnsi="仿宋" w:eastAsia="仿宋" w:cs="仿宋"/>
          <w:b/>
          <w:color w:val="auto"/>
          <w:sz w:val="28"/>
          <w:szCs w:val="28"/>
          <w:lang w:val="en-US" w:eastAsia="zh-CN"/>
        </w:rPr>
      </w:pPr>
    </w:p>
    <w:p w14:paraId="75BF0E15">
      <w:pPr>
        <w:rPr>
          <w:rFonts w:hint="eastAsia" w:ascii="仿宋" w:hAnsi="仿宋" w:eastAsia="仿宋" w:cs="仿宋"/>
          <w:b/>
          <w:color w:val="auto"/>
          <w:sz w:val="28"/>
          <w:szCs w:val="28"/>
          <w:lang w:val="en-US" w:eastAsia="zh-CN"/>
        </w:rPr>
      </w:pPr>
    </w:p>
    <w:p w14:paraId="124FC1A5">
      <w:pPr>
        <w:rPr>
          <w:rFonts w:hint="eastAsia" w:ascii="仿宋" w:hAnsi="仿宋" w:eastAsia="仿宋" w:cs="仿宋"/>
          <w:b/>
          <w:color w:val="auto"/>
          <w:sz w:val="28"/>
          <w:szCs w:val="28"/>
          <w:lang w:val="en-US" w:eastAsia="zh-CN"/>
        </w:rPr>
      </w:pPr>
    </w:p>
    <w:p w14:paraId="3DC8CD71">
      <w:pPr>
        <w:rPr>
          <w:rFonts w:hint="eastAsia" w:ascii="仿宋" w:hAnsi="仿宋" w:eastAsia="仿宋" w:cs="仿宋"/>
          <w:b/>
          <w:color w:val="auto"/>
          <w:sz w:val="28"/>
          <w:szCs w:val="28"/>
          <w:lang w:val="en-US" w:eastAsia="zh-CN"/>
        </w:rPr>
      </w:pPr>
    </w:p>
    <w:p w14:paraId="485DDD8D">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附件9</w:t>
      </w:r>
    </w:p>
    <w:p w14:paraId="75096161">
      <w:pPr>
        <w:snapToGrid w:val="0"/>
        <w:spacing w:line="300" w:lineRule="auto"/>
        <w:ind w:firstLine="3373" w:firstLineChars="1200"/>
        <w:contextualSpacing/>
        <w:jc w:val="both"/>
        <w:rPr>
          <w:rFonts w:hint="eastAsia" w:ascii="仿宋" w:hAnsi="仿宋" w:eastAsia="仿宋" w:cs="仿宋"/>
          <w:b/>
          <w:color w:val="auto"/>
          <w:sz w:val="28"/>
          <w:szCs w:val="28"/>
        </w:rPr>
      </w:pPr>
      <w:r>
        <w:rPr>
          <w:rFonts w:hint="eastAsia" w:ascii="仿宋" w:hAnsi="仿宋" w:eastAsia="仿宋" w:cs="仿宋"/>
          <w:b/>
          <w:color w:val="auto"/>
          <w:sz w:val="28"/>
          <w:szCs w:val="28"/>
        </w:rPr>
        <w:t>技术</w:t>
      </w:r>
      <w:r>
        <w:rPr>
          <w:rFonts w:hint="eastAsia" w:ascii="仿宋" w:hAnsi="仿宋" w:eastAsia="仿宋" w:cs="仿宋"/>
          <w:b/>
          <w:color w:val="auto"/>
          <w:sz w:val="28"/>
          <w:szCs w:val="28"/>
          <w:lang w:eastAsia="zh-CN"/>
        </w:rPr>
        <w:t>要求响应及</w:t>
      </w:r>
      <w:r>
        <w:rPr>
          <w:rFonts w:hint="eastAsia" w:ascii="仿宋" w:hAnsi="仿宋" w:eastAsia="仿宋" w:cs="仿宋"/>
          <w:b/>
          <w:color w:val="auto"/>
          <w:sz w:val="28"/>
          <w:szCs w:val="28"/>
        </w:rPr>
        <w:t>偏离表</w:t>
      </w:r>
    </w:p>
    <w:p w14:paraId="7C08C3AA">
      <w:pPr>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（由供应商据实填写，表格不够自行添加）</w:t>
      </w:r>
    </w:p>
    <w:tbl>
      <w:tblPr>
        <w:tblStyle w:val="1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7AB23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2A62E8F3">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4A6AD326">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5C5C3E17">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磋商文件要求的技术要求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38E6449C">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响应文件响应情况</w:t>
            </w:r>
          </w:p>
        </w:tc>
        <w:tc>
          <w:tcPr>
            <w:tcW w:w="1427" w:type="dxa"/>
            <w:tcBorders>
              <w:top w:val="single" w:color="auto" w:sz="12" w:space="0"/>
              <w:left w:val="single" w:color="auto" w:sz="6" w:space="0"/>
              <w:bottom w:val="single" w:color="auto" w:sz="6" w:space="0"/>
              <w:right w:val="single" w:color="auto" w:sz="12" w:space="0"/>
            </w:tcBorders>
            <w:vAlign w:val="top"/>
          </w:tcPr>
          <w:p w14:paraId="4C0A49DB">
            <w:pPr>
              <w:spacing w:line="340" w:lineRule="exact"/>
              <w:jc w:val="center"/>
              <w:rPr>
                <w:rFonts w:hint="eastAsia" w:ascii="仿宋" w:hAnsi="仿宋" w:eastAsia="仿宋" w:cs="仿宋"/>
                <w:color w:val="auto"/>
                <w:sz w:val="24"/>
              </w:rPr>
            </w:pPr>
          </w:p>
          <w:p w14:paraId="52409F70">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偏离说明</w:t>
            </w:r>
          </w:p>
        </w:tc>
      </w:tr>
      <w:tr w14:paraId="08C96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vAlign w:val="top"/>
          </w:tcPr>
          <w:p w14:paraId="07485015">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300" w:type="dxa"/>
            <w:tcBorders>
              <w:top w:val="single" w:color="auto" w:sz="6" w:space="0"/>
              <w:left w:val="single" w:color="auto" w:sz="6" w:space="0"/>
              <w:bottom w:val="single" w:color="auto" w:sz="6" w:space="0"/>
              <w:right w:val="single" w:color="auto" w:sz="6" w:space="0"/>
            </w:tcBorders>
            <w:vAlign w:val="center"/>
          </w:tcPr>
          <w:p w14:paraId="72776BFC">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0693735A">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7CBFBDC5">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1778EB0F">
            <w:pPr>
              <w:spacing w:line="340" w:lineRule="exact"/>
              <w:jc w:val="left"/>
              <w:rPr>
                <w:rFonts w:hint="eastAsia" w:ascii="仿宋" w:hAnsi="仿宋" w:eastAsia="仿宋" w:cs="仿宋"/>
                <w:color w:val="auto"/>
                <w:sz w:val="24"/>
              </w:rPr>
            </w:pPr>
          </w:p>
        </w:tc>
      </w:tr>
      <w:tr w14:paraId="4433B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vAlign w:val="top"/>
          </w:tcPr>
          <w:p w14:paraId="685A3433">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300" w:type="dxa"/>
            <w:tcBorders>
              <w:top w:val="single" w:color="auto" w:sz="6" w:space="0"/>
              <w:left w:val="single" w:color="auto" w:sz="6" w:space="0"/>
              <w:bottom w:val="single" w:color="auto" w:sz="6" w:space="0"/>
              <w:right w:val="single" w:color="auto" w:sz="6" w:space="0"/>
            </w:tcBorders>
            <w:vAlign w:val="center"/>
          </w:tcPr>
          <w:p w14:paraId="2DEEA5EB">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45DBBB41">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2312ECA3">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58D5C499">
            <w:pPr>
              <w:spacing w:line="340" w:lineRule="exact"/>
              <w:jc w:val="left"/>
              <w:rPr>
                <w:rFonts w:hint="eastAsia" w:ascii="仿宋" w:hAnsi="仿宋" w:eastAsia="仿宋" w:cs="仿宋"/>
                <w:color w:val="auto"/>
                <w:sz w:val="24"/>
              </w:rPr>
            </w:pPr>
          </w:p>
        </w:tc>
      </w:tr>
      <w:tr w14:paraId="769EA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vAlign w:val="top"/>
          </w:tcPr>
          <w:p w14:paraId="2A627ED8">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3</w:t>
            </w:r>
          </w:p>
        </w:tc>
        <w:tc>
          <w:tcPr>
            <w:tcW w:w="2300" w:type="dxa"/>
            <w:tcBorders>
              <w:top w:val="single" w:color="auto" w:sz="6" w:space="0"/>
              <w:left w:val="single" w:color="auto" w:sz="6" w:space="0"/>
              <w:bottom w:val="single" w:color="auto" w:sz="6" w:space="0"/>
              <w:right w:val="single" w:color="auto" w:sz="6" w:space="0"/>
            </w:tcBorders>
            <w:vAlign w:val="center"/>
          </w:tcPr>
          <w:p w14:paraId="16AC1633">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2383A5A4">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55942637">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661C20BC">
            <w:pPr>
              <w:spacing w:line="340" w:lineRule="exact"/>
              <w:jc w:val="left"/>
              <w:rPr>
                <w:rFonts w:hint="eastAsia" w:ascii="仿宋" w:hAnsi="仿宋" w:eastAsia="仿宋" w:cs="仿宋"/>
                <w:color w:val="auto"/>
                <w:sz w:val="24"/>
              </w:rPr>
            </w:pPr>
          </w:p>
        </w:tc>
      </w:tr>
      <w:tr w14:paraId="5AEC5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6ACEF9F6">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4</w:t>
            </w:r>
          </w:p>
        </w:tc>
        <w:tc>
          <w:tcPr>
            <w:tcW w:w="2300" w:type="dxa"/>
            <w:tcBorders>
              <w:top w:val="single" w:color="auto" w:sz="6" w:space="0"/>
              <w:left w:val="single" w:color="auto" w:sz="6" w:space="0"/>
              <w:bottom w:val="single" w:color="auto" w:sz="6" w:space="0"/>
              <w:right w:val="single" w:color="auto" w:sz="6" w:space="0"/>
            </w:tcBorders>
            <w:vAlign w:val="center"/>
          </w:tcPr>
          <w:p w14:paraId="20EC9B8B">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32181B0C">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6D3847E6">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1A3FDA4E">
            <w:pPr>
              <w:spacing w:line="340" w:lineRule="exact"/>
              <w:jc w:val="left"/>
              <w:rPr>
                <w:rFonts w:hint="eastAsia" w:ascii="仿宋" w:hAnsi="仿宋" w:eastAsia="仿宋" w:cs="仿宋"/>
                <w:color w:val="auto"/>
                <w:sz w:val="24"/>
              </w:rPr>
            </w:pPr>
          </w:p>
        </w:tc>
      </w:tr>
      <w:tr w14:paraId="127117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4910DC48">
            <w:pPr>
              <w:spacing w:line="340" w:lineRule="exact"/>
              <w:jc w:val="center"/>
              <w:rPr>
                <w:rFonts w:hint="eastAsia" w:ascii="仿宋" w:hAnsi="仿宋" w:eastAsia="仿宋" w:cs="仿宋"/>
                <w:color w:val="auto"/>
                <w:sz w:val="24"/>
                <w:lang w:val="en-US" w:eastAsia="zh-CN"/>
              </w:rPr>
            </w:pPr>
            <w:r>
              <w:rPr>
                <w:rFonts w:hint="eastAsia" w:ascii="仿宋" w:hAnsi="仿宋" w:eastAsia="仿宋" w:cs="仿宋"/>
                <w:color w:val="auto"/>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3968AE6A">
            <w:pPr>
              <w:spacing w:line="340" w:lineRule="exact"/>
              <w:jc w:val="left"/>
              <w:rPr>
                <w:rFonts w:hint="default" w:ascii="仿宋" w:hAnsi="仿宋" w:eastAsia="仿宋" w:cs="仿宋"/>
                <w:color w:val="auto"/>
                <w:sz w:val="24"/>
                <w:lang w:val="en-US" w:eastAsia="zh-CN"/>
              </w:rPr>
            </w:pPr>
            <w:r>
              <w:rPr>
                <w:rFonts w:hint="eastAsia" w:ascii="仿宋" w:hAnsi="仿宋" w:eastAsia="仿宋" w:cs="仿宋"/>
                <w:color w:val="auto"/>
                <w:sz w:val="24"/>
                <w:szCs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6D4CA30B">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252CFD2D">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31185695">
            <w:pPr>
              <w:spacing w:line="340" w:lineRule="exact"/>
              <w:jc w:val="left"/>
              <w:rPr>
                <w:rFonts w:hint="eastAsia" w:ascii="仿宋" w:hAnsi="仿宋" w:eastAsia="仿宋" w:cs="仿宋"/>
                <w:color w:val="auto"/>
                <w:sz w:val="24"/>
              </w:rPr>
            </w:pPr>
          </w:p>
        </w:tc>
      </w:tr>
    </w:tbl>
    <w:p w14:paraId="7AF6368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-1  证明材料1，证明材料2，……</w:t>
      </w:r>
    </w:p>
    <w:p w14:paraId="0027D609">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p>
    <w:p w14:paraId="6B30A9F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5DD089B3">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contextualSpacing/>
        <w:textAlignment w:val="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四章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采购</w:t>
      </w:r>
      <w:r>
        <w:rPr>
          <w:rFonts w:hint="eastAsia" w:ascii="仿宋" w:hAnsi="仿宋" w:eastAsia="仿宋" w:cs="仿宋"/>
          <w:color w:val="000000"/>
          <w:sz w:val="24"/>
          <w:highlight w:val="none"/>
        </w:rPr>
        <w:t>需求”中的技术要求</w:t>
      </w:r>
      <w:r>
        <w:rPr>
          <w:rFonts w:hint="eastAsia" w:ascii="仿宋" w:hAnsi="仿宋" w:eastAsia="仿宋" w:cs="仿宋"/>
          <w:color w:val="000000"/>
          <w:sz w:val="24"/>
          <w:highlight w:val="none"/>
          <w:lang w:eastAsia="zh-CN"/>
        </w:rPr>
        <w:t>（</w:t>
      </w:r>
      <w:r>
        <w:rPr>
          <w:rFonts w:hint="eastAsia" w:ascii="仿宋" w:hAnsi="仿宋" w:eastAsia="仿宋" w:cs="仿宋"/>
          <w:b/>
          <w:bCs/>
          <w:color w:val="000000"/>
          <w:sz w:val="24"/>
          <w:highlight w:val="none"/>
          <w:lang w:val="en-US" w:eastAsia="zh-CN"/>
        </w:rPr>
        <w:t>未加斜体下划线的非实质性内容</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如有偏离的，应逐条填列在偏离表中。</w:t>
      </w:r>
      <w:r>
        <w:rPr>
          <w:rFonts w:hint="eastAsia" w:ascii="仿宋" w:hAnsi="仿宋" w:eastAsia="仿宋" w:cs="仿宋"/>
          <w:b/>
          <w:bCs/>
          <w:color w:val="000000"/>
          <w:sz w:val="24"/>
          <w:szCs w:val="24"/>
          <w:highlight w:val="none"/>
        </w:rPr>
        <w:t>如果磋商文件要求提供证明材料，供应商需将证明材料列于该表之下。</w:t>
      </w:r>
    </w:p>
    <w:p w14:paraId="7157D5D0">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contextualSpacing/>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“偏离说明”一栏选择“正偏离”、“无偏离”、“负偏离”进行填写。</w:t>
      </w:r>
      <w:r>
        <w:rPr>
          <w:rFonts w:hint="eastAsia" w:ascii="仿宋" w:hAnsi="仿宋" w:eastAsia="仿宋" w:cs="仿宋"/>
          <w:b/>
          <w:bCs/>
          <w:color w:val="000000"/>
          <w:sz w:val="24"/>
          <w:highlight w:val="none"/>
        </w:rPr>
        <w:t>未填写的内容视为完全响应本磋商文件要求。</w:t>
      </w:r>
      <w:r>
        <w:rPr>
          <w:rFonts w:hint="eastAsia" w:ascii="仿宋" w:hAnsi="仿宋" w:eastAsia="仿宋" w:cs="仿宋"/>
          <w:color w:val="000000"/>
          <w:sz w:val="24"/>
          <w:highlight w:val="none"/>
        </w:rPr>
        <w:t>正偏离、无偏离的确认和负偏离是否响应磋商文件，由</w:t>
      </w:r>
      <w:r>
        <w:rPr>
          <w:rFonts w:hint="eastAsia" w:ascii="仿宋" w:hAnsi="仿宋" w:eastAsia="仿宋" w:cs="仿宋"/>
          <w:color w:val="000000"/>
          <w:sz w:val="24"/>
          <w:highlight w:val="none"/>
          <w:lang w:val="en-US" w:eastAsia="zh-CN"/>
        </w:rPr>
        <w:t>磋商小组</w:t>
      </w:r>
      <w:r>
        <w:rPr>
          <w:rFonts w:hint="eastAsia" w:ascii="仿宋" w:hAnsi="仿宋" w:eastAsia="仿宋" w:cs="仿宋"/>
          <w:color w:val="000000"/>
          <w:sz w:val="24"/>
          <w:highlight w:val="none"/>
        </w:rPr>
        <w:t>认定。</w:t>
      </w:r>
    </w:p>
    <w:p w14:paraId="6C9CF286">
      <w:pPr>
        <w:pStyle w:val="15"/>
        <w:rPr>
          <w:rFonts w:hint="eastAsia" w:ascii="仿宋" w:hAnsi="仿宋" w:eastAsia="仿宋" w:cs="仿宋"/>
        </w:rPr>
      </w:pPr>
    </w:p>
    <w:p w14:paraId="3C084BF9">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6B69F22E">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62117E9F">
      <w:pPr>
        <w:ind w:left="480"/>
        <w:rPr>
          <w:rFonts w:hint="eastAsia" w:ascii="仿宋" w:hAnsi="仿宋" w:eastAsia="仿宋" w:cs="仿宋"/>
          <w:b/>
          <w:i/>
          <w:color w:val="FF0000"/>
          <w:sz w:val="24"/>
          <w:szCs w:val="21"/>
          <w:u w:val="single"/>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0CAB6914">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10</w:t>
      </w:r>
    </w:p>
    <w:p w14:paraId="3817E0A9">
      <w:pPr>
        <w:ind w:firstLine="562" w:firstLineChars="200"/>
        <w:jc w:val="center"/>
        <w:rPr>
          <w:rFonts w:hint="eastAsia" w:ascii="仿宋" w:hAnsi="仿宋" w:eastAsia="仿宋" w:cs="仿宋"/>
          <w:b/>
          <w:sz w:val="28"/>
          <w:szCs w:val="28"/>
        </w:rPr>
      </w:pPr>
      <w:r>
        <w:rPr>
          <w:rFonts w:hint="eastAsia" w:ascii="仿宋" w:hAnsi="仿宋" w:eastAsia="仿宋" w:cs="仿宋"/>
          <w:b/>
          <w:sz w:val="28"/>
          <w:szCs w:val="28"/>
        </w:rPr>
        <w:t>商务</w:t>
      </w:r>
      <w:r>
        <w:rPr>
          <w:rFonts w:hint="eastAsia" w:ascii="仿宋" w:hAnsi="仿宋" w:eastAsia="仿宋" w:cs="仿宋"/>
          <w:b/>
          <w:sz w:val="28"/>
          <w:szCs w:val="28"/>
          <w:lang w:eastAsia="zh-CN"/>
        </w:rPr>
        <w:t>要求响应及</w:t>
      </w:r>
      <w:r>
        <w:rPr>
          <w:rFonts w:hint="eastAsia" w:ascii="仿宋" w:hAnsi="仿宋" w:eastAsia="仿宋" w:cs="仿宋"/>
          <w:b/>
          <w:sz w:val="28"/>
          <w:szCs w:val="28"/>
        </w:rPr>
        <w:t>偏离表</w:t>
      </w:r>
    </w:p>
    <w:p w14:paraId="51036302">
      <w:pPr>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04372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36A6C6B2">
            <w:pPr>
              <w:spacing w:line="340" w:lineRule="exact"/>
              <w:jc w:val="center"/>
              <w:rPr>
                <w:rFonts w:hint="eastAsia" w:ascii="仿宋" w:hAnsi="仿宋" w:eastAsia="仿宋" w:cs="仿宋"/>
                <w:sz w:val="24"/>
              </w:rPr>
            </w:pPr>
            <w:r>
              <w:rPr>
                <w:rFonts w:hint="eastAsia" w:ascii="仿宋" w:hAnsi="仿宋" w:eastAsia="仿宋" w:cs="仿宋"/>
                <w:sz w:val="24"/>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0EA275C8">
            <w:pPr>
              <w:spacing w:line="340" w:lineRule="exact"/>
              <w:jc w:val="center"/>
              <w:rPr>
                <w:rFonts w:hint="eastAsia" w:ascii="仿宋" w:hAnsi="仿宋" w:eastAsia="仿宋" w:cs="仿宋"/>
                <w:sz w:val="24"/>
              </w:rPr>
            </w:pPr>
            <w:r>
              <w:rPr>
                <w:rFonts w:hint="eastAsia" w:ascii="仿宋" w:hAnsi="仿宋" w:eastAsia="仿宋" w:cs="仿宋"/>
                <w:sz w:val="24"/>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35AC71EB">
            <w:pPr>
              <w:spacing w:line="340" w:lineRule="exact"/>
              <w:jc w:val="center"/>
              <w:rPr>
                <w:rFonts w:hint="eastAsia" w:ascii="仿宋" w:hAnsi="仿宋" w:eastAsia="仿宋" w:cs="仿宋"/>
                <w:sz w:val="24"/>
              </w:rPr>
            </w:pPr>
            <w:r>
              <w:rPr>
                <w:rFonts w:hint="eastAsia" w:ascii="仿宋" w:hAnsi="仿宋" w:eastAsia="仿宋" w:cs="仿宋"/>
                <w:sz w:val="24"/>
              </w:rPr>
              <w:t>磋商文件要求的商务条款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7F6F47DB">
            <w:pPr>
              <w:spacing w:line="340" w:lineRule="exact"/>
              <w:jc w:val="center"/>
              <w:rPr>
                <w:rFonts w:hint="eastAsia" w:ascii="仿宋" w:hAnsi="仿宋" w:eastAsia="仿宋" w:cs="仿宋"/>
                <w:sz w:val="24"/>
              </w:rPr>
            </w:pPr>
            <w:r>
              <w:rPr>
                <w:rFonts w:hint="eastAsia" w:ascii="仿宋" w:hAnsi="仿宋" w:eastAsia="仿宋" w:cs="仿宋"/>
                <w:sz w:val="24"/>
              </w:rPr>
              <w:t>响应文件响应情况</w:t>
            </w:r>
          </w:p>
        </w:tc>
        <w:tc>
          <w:tcPr>
            <w:tcW w:w="1427" w:type="dxa"/>
            <w:tcBorders>
              <w:top w:val="single" w:color="auto" w:sz="12" w:space="0"/>
              <w:left w:val="single" w:color="auto" w:sz="6" w:space="0"/>
              <w:bottom w:val="single" w:color="auto" w:sz="6" w:space="0"/>
              <w:right w:val="single" w:color="auto" w:sz="12" w:space="0"/>
            </w:tcBorders>
            <w:vAlign w:val="top"/>
          </w:tcPr>
          <w:p w14:paraId="7285B97E">
            <w:pPr>
              <w:spacing w:line="340" w:lineRule="exact"/>
              <w:jc w:val="center"/>
              <w:rPr>
                <w:rFonts w:hint="eastAsia" w:ascii="仿宋" w:hAnsi="仿宋" w:eastAsia="仿宋" w:cs="仿宋"/>
                <w:sz w:val="24"/>
              </w:rPr>
            </w:pPr>
          </w:p>
          <w:p w14:paraId="085B10C0">
            <w:pPr>
              <w:spacing w:line="340" w:lineRule="exact"/>
              <w:jc w:val="center"/>
              <w:rPr>
                <w:rFonts w:hint="eastAsia" w:ascii="仿宋" w:hAnsi="仿宋" w:eastAsia="仿宋" w:cs="仿宋"/>
                <w:sz w:val="24"/>
              </w:rPr>
            </w:pPr>
            <w:r>
              <w:rPr>
                <w:rFonts w:hint="eastAsia" w:ascii="仿宋" w:hAnsi="仿宋" w:eastAsia="仿宋" w:cs="仿宋"/>
                <w:sz w:val="24"/>
              </w:rPr>
              <w:t>偏离说明</w:t>
            </w:r>
          </w:p>
        </w:tc>
      </w:tr>
      <w:tr w14:paraId="7C5E5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vAlign w:val="top"/>
          </w:tcPr>
          <w:p w14:paraId="3B20810E">
            <w:pPr>
              <w:spacing w:line="340" w:lineRule="exact"/>
              <w:jc w:val="center"/>
              <w:rPr>
                <w:rFonts w:hint="eastAsia" w:ascii="仿宋" w:hAnsi="仿宋" w:eastAsia="仿宋" w:cs="仿宋"/>
                <w:sz w:val="24"/>
              </w:rPr>
            </w:pPr>
            <w:r>
              <w:rPr>
                <w:rFonts w:hint="eastAsia" w:ascii="仿宋" w:hAnsi="仿宋" w:eastAsia="仿宋" w:cs="仿宋"/>
                <w:sz w:val="24"/>
              </w:rPr>
              <w:t>1</w:t>
            </w:r>
          </w:p>
        </w:tc>
        <w:tc>
          <w:tcPr>
            <w:tcW w:w="2300" w:type="dxa"/>
            <w:tcBorders>
              <w:top w:val="single" w:color="auto" w:sz="6" w:space="0"/>
              <w:left w:val="single" w:color="auto" w:sz="6" w:space="0"/>
              <w:bottom w:val="single" w:color="auto" w:sz="6" w:space="0"/>
              <w:right w:val="single" w:color="auto" w:sz="6" w:space="0"/>
            </w:tcBorders>
            <w:vAlign w:val="center"/>
          </w:tcPr>
          <w:p w14:paraId="3CD6705C">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5C787363">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3019D08F">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442E345E">
            <w:pPr>
              <w:spacing w:line="340" w:lineRule="exact"/>
              <w:jc w:val="left"/>
              <w:rPr>
                <w:rFonts w:hint="eastAsia" w:ascii="仿宋" w:hAnsi="仿宋" w:eastAsia="仿宋" w:cs="仿宋"/>
                <w:sz w:val="24"/>
              </w:rPr>
            </w:pPr>
          </w:p>
        </w:tc>
      </w:tr>
      <w:tr w14:paraId="474C3C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vAlign w:val="top"/>
          </w:tcPr>
          <w:p w14:paraId="6FBDFEAE">
            <w:pPr>
              <w:spacing w:line="340" w:lineRule="exact"/>
              <w:jc w:val="center"/>
              <w:rPr>
                <w:rFonts w:hint="eastAsia" w:ascii="仿宋" w:hAnsi="仿宋" w:eastAsia="仿宋" w:cs="仿宋"/>
                <w:sz w:val="24"/>
              </w:rPr>
            </w:pPr>
            <w:r>
              <w:rPr>
                <w:rFonts w:hint="eastAsia" w:ascii="仿宋" w:hAnsi="仿宋" w:eastAsia="仿宋" w:cs="仿宋"/>
                <w:sz w:val="24"/>
              </w:rPr>
              <w:t>2</w:t>
            </w:r>
          </w:p>
        </w:tc>
        <w:tc>
          <w:tcPr>
            <w:tcW w:w="2300" w:type="dxa"/>
            <w:tcBorders>
              <w:top w:val="single" w:color="auto" w:sz="6" w:space="0"/>
              <w:left w:val="single" w:color="auto" w:sz="6" w:space="0"/>
              <w:bottom w:val="single" w:color="auto" w:sz="6" w:space="0"/>
              <w:right w:val="single" w:color="auto" w:sz="6" w:space="0"/>
            </w:tcBorders>
            <w:vAlign w:val="center"/>
          </w:tcPr>
          <w:p w14:paraId="2703A1D5">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4A22A174">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4F44F27F">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2A3601A1">
            <w:pPr>
              <w:spacing w:line="340" w:lineRule="exact"/>
              <w:jc w:val="left"/>
              <w:rPr>
                <w:rFonts w:hint="eastAsia" w:ascii="仿宋" w:hAnsi="仿宋" w:eastAsia="仿宋" w:cs="仿宋"/>
                <w:sz w:val="24"/>
              </w:rPr>
            </w:pPr>
          </w:p>
        </w:tc>
      </w:tr>
      <w:tr w14:paraId="2AD35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vAlign w:val="top"/>
          </w:tcPr>
          <w:p w14:paraId="6FBD2A75">
            <w:pPr>
              <w:spacing w:line="340" w:lineRule="exact"/>
              <w:jc w:val="center"/>
              <w:rPr>
                <w:rFonts w:hint="eastAsia" w:ascii="仿宋" w:hAnsi="仿宋" w:eastAsia="仿宋" w:cs="仿宋"/>
                <w:sz w:val="24"/>
              </w:rPr>
            </w:pPr>
            <w:r>
              <w:rPr>
                <w:rFonts w:hint="eastAsia" w:ascii="仿宋" w:hAnsi="仿宋" w:eastAsia="仿宋" w:cs="仿宋"/>
                <w:sz w:val="24"/>
              </w:rPr>
              <w:t>3</w:t>
            </w:r>
          </w:p>
        </w:tc>
        <w:tc>
          <w:tcPr>
            <w:tcW w:w="2300" w:type="dxa"/>
            <w:tcBorders>
              <w:top w:val="single" w:color="auto" w:sz="6" w:space="0"/>
              <w:left w:val="single" w:color="auto" w:sz="6" w:space="0"/>
              <w:bottom w:val="single" w:color="auto" w:sz="6" w:space="0"/>
              <w:right w:val="single" w:color="auto" w:sz="6" w:space="0"/>
            </w:tcBorders>
            <w:vAlign w:val="center"/>
          </w:tcPr>
          <w:p w14:paraId="255F4292">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54F67070">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540AC0BE">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6146D853">
            <w:pPr>
              <w:spacing w:line="340" w:lineRule="exact"/>
              <w:jc w:val="left"/>
              <w:rPr>
                <w:rFonts w:hint="eastAsia" w:ascii="仿宋" w:hAnsi="仿宋" w:eastAsia="仿宋" w:cs="仿宋"/>
                <w:sz w:val="24"/>
              </w:rPr>
            </w:pPr>
          </w:p>
        </w:tc>
      </w:tr>
      <w:tr w14:paraId="27239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1A87152B">
            <w:pPr>
              <w:spacing w:line="340" w:lineRule="exact"/>
              <w:jc w:val="center"/>
              <w:rPr>
                <w:rFonts w:hint="eastAsia" w:ascii="仿宋" w:hAnsi="仿宋" w:eastAsia="仿宋" w:cs="仿宋"/>
                <w:sz w:val="24"/>
              </w:rPr>
            </w:pPr>
            <w:r>
              <w:rPr>
                <w:rFonts w:hint="eastAsia" w:ascii="仿宋" w:hAnsi="仿宋" w:eastAsia="仿宋" w:cs="仿宋"/>
                <w:sz w:val="24"/>
              </w:rPr>
              <w:t>4</w:t>
            </w:r>
          </w:p>
        </w:tc>
        <w:tc>
          <w:tcPr>
            <w:tcW w:w="2300" w:type="dxa"/>
            <w:tcBorders>
              <w:top w:val="single" w:color="auto" w:sz="6" w:space="0"/>
              <w:left w:val="single" w:color="auto" w:sz="6" w:space="0"/>
              <w:bottom w:val="single" w:color="auto" w:sz="6" w:space="0"/>
              <w:right w:val="single" w:color="auto" w:sz="6" w:space="0"/>
            </w:tcBorders>
            <w:vAlign w:val="center"/>
          </w:tcPr>
          <w:p w14:paraId="228EA105">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650EC2B9">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7A6AC007">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2DB77BD5">
            <w:pPr>
              <w:spacing w:line="340" w:lineRule="exact"/>
              <w:jc w:val="left"/>
              <w:rPr>
                <w:rFonts w:hint="eastAsia" w:ascii="仿宋" w:hAnsi="仿宋" w:eastAsia="仿宋" w:cs="仿宋"/>
                <w:sz w:val="24"/>
              </w:rPr>
            </w:pPr>
          </w:p>
        </w:tc>
      </w:tr>
      <w:tr w14:paraId="11384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42FAC7B6">
            <w:pPr>
              <w:spacing w:line="340" w:lineRule="exact"/>
              <w:jc w:val="center"/>
              <w:rPr>
                <w:rFonts w:hint="eastAsia" w:ascii="仿宋" w:hAnsi="仿宋" w:eastAsia="仿宋" w:cs="仿宋"/>
                <w:sz w:val="24"/>
              </w:rPr>
            </w:pPr>
            <w:r>
              <w:rPr>
                <w:rFonts w:hint="eastAsia" w:ascii="仿宋" w:hAnsi="仿宋" w:eastAsia="仿宋" w:cs="仿宋"/>
                <w:color w:val="auto"/>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085E8390">
            <w:pPr>
              <w:spacing w:line="340" w:lineRule="exact"/>
              <w:jc w:val="left"/>
              <w:rPr>
                <w:rFonts w:hint="eastAsia" w:ascii="仿宋" w:hAnsi="仿宋" w:eastAsia="仿宋" w:cs="仿宋"/>
                <w:sz w:val="24"/>
              </w:rPr>
            </w:pPr>
            <w:r>
              <w:rPr>
                <w:rFonts w:hint="eastAsia" w:ascii="仿宋" w:hAnsi="仿宋" w:eastAsia="仿宋" w:cs="仿宋"/>
                <w:color w:val="auto"/>
                <w:sz w:val="24"/>
                <w:szCs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651CC5F3">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1DFF5B2F">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11522508">
            <w:pPr>
              <w:spacing w:line="340" w:lineRule="exact"/>
              <w:jc w:val="left"/>
              <w:rPr>
                <w:rFonts w:hint="eastAsia" w:ascii="仿宋" w:hAnsi="仿宋" w:eastAsia="仿宋" w:cs="仿宋"/>
                <w:sz w:val="24"/>
              </w:rPr>
            </w:pPr>
          </w:p>
        </w:tc>
      </w:tr>
    </w:tbl>
    <w:p w14:paraId="193675E1">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-1  证明材料1，证明材料2，……</w:t>
      </w:r>
    </w:p>
    <w:p w14:paraId="1D5E4D0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p>
    <w:p w14:paraId="5459E8CD">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5898B5B4">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应商提交的响应文件中与磋商文件第</w:t>
      </w:r>
      <w:r>
        <w:rPr>
          <w:rFonts w:hint="eastAsia" w:ascii="仿宋" w:hAnsi="仿宋" w:eastAsia="仿宋" w:cs="仿宋"/>
          <w:color w:val="auto"/>
          <w:sz w:val="24"/>
          <w:szCs w:val="24"/>
          <w:highlight w:val="none"/>
          <w:lang w:val="en-US" w:eastAsia="zh-CN"/>
        </w:rPr>
        <w:t>四章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需求”中的商务要求</w:t>
      </w:r>
      <w:r>
        <w:rPr>
          <w:rFonts w:hint="eastAsia" w:ascii="仿宋" w:hAnsi="仿宋" w:eastAsia="仿宋" w:cs="仿宋"/>
          <w:b/>
          <w:bCs/>
          <w:color w:val="000000"/>
          <w:sz w:val="24"/>
          <w:highlight w:val="none"/>
          <w:lang w:eastAsia="zh-CN"/>
        </w:rPr>
        <w:t>（</w:t>
      </w:r>
      <w:r>
        <w:rPr>
          <w:rFonts w:hint="eastAsia" w:ascii="仿宋" w:hAnsi="仿宋" w:eastAsia="仿宋" w:cs="仿宋"/>
          <w:b/>
          <w:bCs/>
          <w:color w:val="000000"/>
          <w:sz w:val="24"/>
          <w:highlight w:val="none"/>
          <w:lang w:val="en-US" w:eastAsia="zh-CN"/>
        </w:rPr>
        <w:t>未加斜体下划线的非实质性内容</w:t>
      </w:r>
      <w:r>
        <w:rPr>
          <w:rFonts w:hint="eastAsia" w:ascii="仿宋" w:hAnsi="仿宋" w:eastAsia="仿宋" w:cs="仿宋"/>
          <w:b/>
          <w:bCs/>
          <w:color w:val="000000"/>
          <w:sz w:val="24"/>
          <w:highlight w:val="none"/>
          <w:lang w:eastAsia="zh-CN"/>
        </w:rPr>
        <w:t>）</w:t>
      </w:r>
      <w:r>
        <w:rPr>
          <w:rFonts w:hint="eastAsia" w:ascii="仿宋" w:hAnsi="仿宋" w:eastAsia="仿宋" w:cs="仿宋"/>
          <w:color w:val="auto"/>
          <w:sz w:val="24"/>
          <w:szCs w:val="24"/>
          <w:highlight w:val="none"/>
        </w:rPr>
        <w:t>如有偏离的，应逐条填列在偏离表中。如果磋商文件要求提供证明材料，供应商需将证明材料列于该表之下。</w:t>
      </w:r>
    </w:p>
    <w:p w14:paraId="2E2CF9B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“偏离说明”一栏选择“正偏离”、“无偏离”、“负偏离”进行填写。</w:t>
      </w:r>
      <w:r>
        <w:rPr>
          <w:rFonts w:hint="eastAsia" w:ascii="仿宋" w:hAnsi="仿宋" w:eastAsia="仿宋" w:cs="仿宋"/>
          <w:b/>
          <w:bCs/>
          <w:color w:val="auto"/>
          <w:sz w:val="24"/>
          <w:szCs w:val="24"/>
          <w:highlight w:val="none"/>
        </w:rPr>
        <w:t>未填写的内容视为完全响应本磋商文件要求。</w:t>
      </w:r>
      <w:r>
        <w:rPr>
          <w:rFonts w:hint="eastAsia" w:ascii="仿宋" w:hAnsi="仿宋" w:eastAsia="仿宋" w:cs="仿宋"/>
          <w:color w:val="auto"/>
          <w:sz w:val="24"/>
          <w:szCs w:val="24"/>
          <w:highlight w:val="none"/>
        </w:rPr>
        <w:t>正偏离、无偏离的确认和负偏离是否响应磋商</w:t>
      </w:r>
      <w:r>
        <w:rPr>
          <w:rFonts w:hint="eastAsia" w:ascii="仿宋" w:hAnsi="仿宋" w:eastAsia="仿宋" w:cs="仿宋"/>
          <w:color w:val="auto"/>
          <w:sz w:val="24"/>
          <w:szCs w:val="24"/>
        </w:rPr>
        <w:t>文件，由</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认定。</w:t>
      </w:r>
    </w:p>
    <w:p w14:paraId="00EB750C">
      <w:pPr>
        <w:numPr>
          <w:ilvl w:val="0"/>
          <w:numId w:val="0"/>
        </w:numPr>
        <w:snapToGrid w:val="0"/>
        <w:spacing w:line="300" w:lineRule="auto"/>
        <w:ind w:firstLine="480" w:firstLineChars="200"/>
        <w:contextualSpacing/>
        <w:rPr>
          <w:rFonts w:hint="eastAsia" w:ascii="仿宋" w:hAnsi="仿宋" w:eastAsia="仿宋" w:cs="仿宋"/>
          <w:color w:val="auto"/>
          <w:sz w:val="24"/>
          <w:highlight w:val="none"/>
        </w:rPr>
      </w:pPr>
    </w:p>
    <w:p w14:paraId="31CDAF31">
      <w:pPr>
        <w:ind w:left="480"/>
        <w:rPr>
          <w:rFonts w:hint="eastAsia" w:ascii="仿宋" w:hAnsi="仿宋" w:eastAsia="仿宋" w:cs="仿宋"/>
          <w:b/>
          <w:i/>
          <w:color w:val="FF0000"/>
          <w:sz w:val="24"/>
          <w:szCs w:val="21"/>
          <w:u w:val="single"/>
        </w:rPr>
      </w:pPr>
    </w:p>
    <w:p w14:paraId="44253114">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186B15D3">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2CA7EA0B">
      <w:pPr>
        <w:ind w:firstLine="4080" w:firstLineChars="1700"/>
        <w:jc w:val="both"/>
        <w:rPr>
          <w:rFonts w:hint="eastAsia" w:ascii="仿宋" w:hAnsi="仿宋" w:eastAsia="仿宋" w:cs="仿宋"/>
          <w:b/>
          <w:color w:val="auto"/>
          <w:sz w:val="28"/>
          <w:szCs w:val="28"/>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r>
        <w:rPr>
          <w:rFonts w:hint="eastAsia" w:ascii="仿宋" w:hAnsi="仿宋" w:eastAsia="仿宋" w:cs="仿宋"/>
          <w:b/>
          <w:color w:val="FF0000"/>
          <w:sz w:val="24"/>
          <w:szCs w:val="24"/>
        </w:rPr>
        <w:br w:type="page"/>
      </w:r>
      <w:r>
        <w:rPr>
          <w:rFonts w:hint="eastAsia" w:ascii="仿宋" w:hAnsi="仿宋" w:eastAsia="仿宋" w:cs="仿宋"/>
          <w:b/>
          <w:color w:val="auto"/>
          <w:sz w:val="28"/>
          <w:szCs w:val="28"/>
        </w:rPr>
        <w:t>附件1</w:t>
      </w:r>
      <w:r>
        <w:rPr>
          <w:rFonts w:hint="eastAsia" w:ascii="仿宋" w:hAnsi="仿宋" w:eastAsia="仿宋" w:cs="仿宋"/>
          <w:b/>
          <w:color w:val="auto"/>
          <w:sz w:val="28"/>
          <w:szCs w:val="28"/>
          <w:lang w:val="en-US" w:eastAsia="zh-CN"/>
        </w:rPr>
        <w:t>1</w:t>
      </w:r>
    </w:p>
    <w:p w14:paraId="2F4F79FB">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实质性要求响应及偏离表</w:t>
      </w:r>
    </w:p>
    <w:p w14:paraId="25B09360">
      <w:pPr>
        <w:pStyle w:val="15"/>
        <w:rPr>
          <w:rFonts w:hint="eastAsia"/>
        </w:rPr>
      </w:pPr>
    </w:p>
    <w:tbl>
      <w:tblPr>
        <w:tblStyle w:val="16"/>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849"/>
        <w:gridCol w:w="3077"/>
        <w:gridCol w:w="1963"/>
      </w:tblGrid>
      <w:tr w14:paraId="4D81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13741D45">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3849" w:type="dxa"/>
            <w:vAlign w:val="center"/>
          </w:tcPr>
          <w:p w14:paraId="7537EDA8">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磋商文件</w:t>
            </w:r>
            <w:r>
              <w:rPr>
                <w:rFonts w:hint="eastAsia" w:ascii="仿宋" w:hAnsi="仿宋" w:eastAsia="仿宋" w:cs="仿宋"/>
                <w:color w:val="auto"/>
                <w:sz w:val="24"/>
                <w:szCs w:val="24"/>
                <w:highlight w:val="none"/>
              </w:rPr>
              <w:t>技术要求和商务要求中的实质性要求</w:t>
            </w:r>
            <w:r>
              <w:rPr>
                <w:rFonts w:hint="eastAsia" w:ascii="仿宋" w:hAnsi="仿宋" w:eastAsia="仿宋" w:cs="仿宋"/>
                <w:i/>
                <w:color w:val="auto"/>
                <w:sz w:val="24"/>
                <w:szCs w:val="24"/>
                <w:highlight w:val="none"/>
                <w:u w:val="single"/>
              </w:rPr>
              <w:t>（加斜体下划线内容）</w:t>
            </w:r>
          </w:p>
        </w:tc>
        <w:tc>
          <w:tcPr>
            <w:tcW w:w="3077" w:type="dxa"/>
            <w:vAlign w:val="center"/>
          </w:tcPr>
          <w:p w14:paraId="1AC49B4D">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响应情况</w:t>
            </w:r>
          </w:p>
        </w:tc>
        <w:tc>
          <w:tcPr>
            <w:tcW w:w="1963" w:type="dxa"/>
            <w:vAlign w:val="center"/>
          </w:tcPr>
          <w:p w14:paraId="591D65F5">
            <w:pPr>
              <w:spacing w:line="40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无偏离、负偏离</w:t>
            </w:r>
          </w:p>
        </w:tc>
      </w:tr>
      <w:tr w14:paraId="4B4C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19668179">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3849" w:type="dxa"/>
            <w:vAlign w:val="top"/>
          </w:tcPr>
          <w:p w14:paraId="0654EF85">
            <w:pPr>
              <w:spacing w:line="400" w:lineRule="exact"/>
              <w:jc w:val="center"/>
              <w:rPr>
                <w:rFonts w:hint="eastAsia" w:ascii="仿宋" w:hAnsi="仿宋" w:eastAsia="仿宋" w:cs="仿宋"/>
                <w:color w:val="auto"/>
                <w:sz w:val="24"/>
                <w:szCs w:val="24"/>
              </w:rPr>
            </w:pPr>
          </w:p>
        </w:tc>
        <w:tc>
          <w:tcPr>
            <w:tcW w:w="3077" w:type="dxa"/>
            <w:vAlign w:val="top"/>
          </w:tcPr>
          <w:p w14:paraId="47CC3F98">
            <w:pPr>
              <w:spacing w:line="400" w:lineRule="exact"/>
              <w:jc w:val="center"/>
              <w:rPr>
                <w:rFonts w:hint="eastAsia" w:ascii="仿宋" w:hAnsi="仿宋" w:eastAsia="仿宋" w:cs="仿宋"/>
                <w:color w:val="auto"/>
                <w:sz w:val="24"/>
                <w:szCs w:val="24"/>
              </w:rPr>
            </w:pPr>
          </w:p>
        </w:tc>
        <w:tc>
          <w:tcPr>
            <w:tcW w:w="1963" w:type="dxa"/>
            <w:vAlign w:val="top"/>
          </w:tcPr>
          <w:p w14:paraId="0CFCB8B5">
            <w:pPr>
              <w:spacing w:line="400" w:lineRule="exact"/>
              <w:jc w:val="center"/>
              <w:rPr>
                <w:rFonts w:hint="eastAsia" w:ascii="仿宋" w:hAnsi="仿宋" w:eastAsia="仿宋" w:cs="仿宋"/>
                <w:color w:val="auto"/>
                <w:sz w:val="24"/>
                <w:szCs w:val="24"/>
              </w:rPr>
            </w:pPr>
          </w:p>
        </w:tc>
      </w:tr>
      <w:tr w14:paraId="5F65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5177A150">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849" w:type="dxa"/>
            <w:vAlign w:val="top"/>
          </w:tcPr>
          <w:p w14:paraId="2776BA60">
            <w:pPr>
              <w:spacing w:line="400" w:lineRule="exact"/>
              <w:jc w:val="center"/>
              <w:rPr>
                <w:rFonts w:hint="eastAsia" w:ascii="仿宋" w:hAnsi="仿宋" w:eastAsia="仿宋" w:cs="仿宋"/>
                <w:color w:val="auto"/>
                <w:sz w:val="24"/>
                <w:szCs w:val="24"/>
              </w:rPr>
            </w:pPr>
          </w:p>
        </w:tc>
        <w:tc>
          <w:tcPr>
            <w:tcW w:w="3077" w:type="dxa"/>
            <w:vAlign w:val="top"/>
          </w:tcPr>
          <w:p w14:paraId="696572A3">
            <w:pPr>
              <w:spacing w:line="400" w:lineRule="exact"/>
              <w:jc w:val="center"/>
              <w:rPr>
                <w:rFonts w:hint="eastAsia" w:ascii="仿宋" w:hAnsi="仿宋" w:eastAsia="仿宋" w:cs="仿宋"/>
                <w:color w:val="auto"/>
                <w:sz w:val="24"/>
                <w:szCs w:val="24"/>
              </w:rPr>
            </w:pPr>
          </w:p>
        </w:tc>
        <w:tc>
          <w:tcPr>
            <w:tcW w:w="1963" w:type="dxa"/>
            <w:vAlign w:val="top"/>
          </w:tcPr>
          <w:p w14:paraId="5EB899D7">
            <w:pPr>
              <w:spacing w:line="400" w:lineRule="exact"/>
              <w:jc w:val="center"/>
              <w:rPr>
                <w:rFonts w:hint="eastAsia" w:ascii="仿宋" w:hAnsi="仿宋" w:eastAsia="仿宋" w:cs="仿宋"/>
                <w:color w:val="auto"/>
                <w:sz w:val="24"/>
                <w:szCs w:val="24"/>
              </w:rPr>
            </w:pPr>
          </w:p>
        </w:tc>
      </w:tr>
      <w:tr w14:paraId="4936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6DA2BFC0">
            <w:pPr>
              <w:spacing w:line="340" w:lineRule="exact"/>
              <w:jc w:val="center"/>
              <w:rPr>
                <w:rFonts w:hint="eastAsia" w:ascii="仿宋" w:hAnsi="仿宋" w:eastAsia="仿宋" w:cs="仿宋"/>
                <w:color w:val="auto"/>
                <w:sz w:val="24"/>
                <w:szCs w:val="24"/>
              </w:rPr>
            </w:pPr>
          </w:p>
          <w:p w14:paraId="47427EC5">
            <w:pPr>
              <w:spacing w:line="3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3849" w:type="dxa"/>
            <w:vAlign w:val="center"/>
          </w:tcPr>
          <w:p w14:paraId="714F74D6">
            <w:pPr>
              <w:spacing w:line="340" w:lineRule="exact"/>
              <w:jc w:val="left"/>
              <w:rPr>
                <w:rFonts w:hint="eastAsia" w:ascii="仿宋" w:hAnsi="仿宋" w:eastAsia="仿宋" w:cs="仿宋"/>
                <w:color w:val="auto"/>
                <w:sz w:val="24"/>
                <w:szCs w:val="24"/>
              </w:rPr>
            </w:pPr>
          </w:p>
          <w:p w14:paraId="0B67449A">
            <w:pPr>
              <w:spacing w:line="34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3077" w:type="dxa"/>
            <w:vAlign w:val="top"/>
          </w:tcPr>
          <w:p w14:paraId="763D38A1">
            <w:pPr>
              <w:spacing w:line="400" w:lineRule="exact"/>
              <w:jc w:val="center"/>
              <w:rPr>
                <w:rFonts w:hint="eastAsia" w:ascii="仿宋" w:hAnsi="仿宋" w:eastAsia="仿宋" w:cs="仿宋"/>
                <w:color w:val="auto"/>
                <w:sz w:val="24"/>
                <w:szCs w:val="24"/>
              </w:rPr>
            </w:pPr>
          </w:p>
        </w:tc>
        <w:tc>
          <w:tcPr>
            <w:tcW w:w="1963" w:type="dxa"/>
            <w:vAlign w:val="top"/>
          </w:tcPr>
          <w:p w14:paraId="2C309798">
            <w:pPr>
              <w:spacing w:line="400" w:lineRule="exact"/>
              <w:jc w:val="center"/>
              <w:rPr>
                <w:rFonts w:hint="eastAsia" w:ascii="仿宋" w:hAnsi="仿宋" w:eastAsia="仿宋" w:cs="仿宋"/>
                <w:color w:val="auto"/>
                <w:sz w:val="24"/>
                <w:szCs w:val="24"/>
              </w:rPr>
            </w:pPr>
          </w:p>
        </w:tc>
      </w:tr>
    </w:tbl>
    <w:p w14:paraId="5FF4395D">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-1 证明材料1，证明材料2，……</w:t>
      </w:r>
    </w:p>
    <w:p w14:paraId="5601FD39">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p>
    <w:p w14:paraId="40E18C7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7D37F98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w:t>
      </w:r>
      <w:r>
        <w:rPr>
          <w:rFonts w:hint="eastAsia" w:ascii="仿宋" w:hAnsi="仿宋" w:eastAsia="仿宋" w:cs="仿宋"/>
          <w:b/>
          <w:bCs/>
          <w:sz w:val="24"/>
        </w:rPr>
        <w:t>未填写的内容视为完全响应本采购文件实质性要求。</w:t>
      </w:r>
    </w:p>
    <w:p w14:paraId="19CC090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rPr>
      </w:pPr>
      <w:r>
        <w:rPr>
          <w:rFonts w:hint="eastAsia" w:ascii="仿宋" w:hAnsi="仿宋" w:eastAsia="仿宋" w:cs="仿宋"/>
          <w:sz w:val="24"/>
        </w:rPr>
        <w:t>2.如果采购文件要求提供证明材料，供应商必须将证明材料列于该表之下</w:t>
      </w:r>
      <w:r>
        <w:rPr>
          <w:rFonts w:hint="eastAsia" w:ascii="仿宋" w:hAnsi="仿宋" w:eastAsia="仿宋" w:cs="仿宋"/>
          <w:sz w:val="24"/>
          <w:lang w:eastAsia="zh-CN"/>
        </w:rPr>
        <w:t>，</w:t>
      </w:r>
      <w:r>
        <w:rPr>
          <w:rFonts w:hint="eastAsia" w:ascii="仿宋" w:hAnsi="仿宋" w:eastAsia="仿宋" w:cs="仿宋"/>
          <w:sz w:val="24"/>
          <w:lang w:val="en-US" w:eastAsia="zh-CN"/>
        </w:rPr>
        <w:t>否则</w:t>
      </w:r>
      <w:r>
        <w:rPr>
          <w:rFonts w:hint="eastAsia" w:ascii="仿宋" w:hAnsi="仿宋" w:eastAsia="仿宋" w:cs="仿宋"/>
          <w:sz w:val="24"/>
        </w:rPr>
        <w:t>作无效响应处理。</w:t>
      </w:r>
    </w:p>
    <w:p w14:paraId="6841299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Cs/>
          <w:sz w:val="24"/>
          <w:szCs w:val="21"/>
        </w:rPr>
      </w:pPr>
    </w:p>
    <w:p w14:paraId="239B8A59">
      <w:pPr>
        <w:spacing w:line="460" w:lineRule="exact"/>
        <w:rPr>
          <w:rFonts w:hint="eastAsia" w:ascii="仿宋" w:hAnsi="仿宋" w:eastAsia="仿宋" w:cs="仿宋"/>
          <w:bCs/>
          <w:sz w:val="24"/>
          <w:szCs w:val="21"/>
        </w:rPr>
      </w:pPr>
    </w:p>
    <w:p w14:paraId="632FEB05">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1CCB9C6D">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5595CDB9">
      <w:pPr>
        <w:spacing w:line="460" w:lineRule="exact"/>
        <w:rPr>
          <w:rFonts w:hint="eastAsia" w:ascii="仿宋" w:hAnsi="仿宋" w:eastAsia="仿宋" w:cs="仿宋"/>
          <w:bCs/>
          <w:sz w:val="24"/>
          <w:szCs w:val="21"/>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7C7F27B5">
      <w:pPr>
        <w:pStyle w:val="15"/>
        <w:rPr>
          <w:rFonts w:hint="eastAsia" w:ascii="仿宋" w:hAnsi="仿宋" w:eastAsia="仿宋" w:cs="仿宋"/>
          <w:bCs/>
          <w:sz w:val="24"/>
          <w:szCs w:val="21"/>
        </w:rPr>
      </w:pPr>
    </w:p>
    <w:p w14:paraId="10E78271">
      <w:pPr>
        <w:rPr>
          <w:rFonts w:hint="eastAsia" w:ascii="仿宋" w:hAnsi="仿宋" w:eastAsia="仿宋" w:cs="仿宋"/>
          <w:bCs/>
          <w:sz w:val="24"/>
          <w:szCs w:val="21"/>
        </w:rPr>
      </w:pPr>
    </w:p>
    <w:p w14:paraId="3AC11AC9">
      <w:pPr>
        <w:pStyle w:val="15"/>
        <w:rPr>
          <w:rFonts w:hint="eastAsia" w:ascii="仿宋" w:hAnsi="仿宋" w:eastAsia="仿宋" w:cs="仿宋"/>
          <w:bCs/>
          <w:sz w:val="24"/>
          <w:szCs w:val="21"/>
        </w:rPr>
      </w:pPr>
    </w:p>
    <w:p w14:paraId="078B51BE">
      <w:pPr>
        <w:rPr>
          <w:rFonts w:hint="eastAsia" w:ascii="仿宋" w:hAnsi="仿宋" w:eastAsia="仿宋" w:cs="仿宋"/>
          <w:bCs/>
          <w:sz w:val="24"/>
          <w:szCs w:val="21"/>
        </w:rPr>
      </w:pPr>
    </w:p>
    <w:p w14:paraId="019B7257">
      <w:pPr>
        <w:pStyle w:val="15"/>
        <w:rPr>
          <w:rFonts w:hint="eastAsia" w:ascii="仿宋" w:hAnsi="仿宋" w:eastAsia="仿宋" w:cs="仿宋"/>
          <w:bCs/>
          <w:sz w:val="24"/>
          <w:szCs w:val="21"/>
        </w:rPr>
      </w:pPr>
    </w:p>
    <w:bookmarkEnd w:id="194"/>
    <w:bookmarkEnd w:id="195"/>
    <w:bookmarkEnd w:id="218"/>
    <w:p w14:paraId="307C2F02">
      <w:pPr>
        <w:jc w:val="left"/>
        <w:rPr>
          <w:rFonts w:hint="eastAsia" w:ascii="仿宋" w:hAnsi="仿宋" w:eastAsia="仿宋" w:cs="仿宋"/>
          <w:b/>
          <w:color w:val="auto"/>
          <w:sz w:val="24"/>
          <w:szCs w:val="24"/>
        </w:rPr>
      </w:pPr>
    </w:p>
    <w:p w14:paraId="55771CC8">
      <w:pPr>
        <w:pStyle w:val="15"/>
        <w:ind w:left="0" w:leftChars="0" w:firstLine="0" w:firstLineChars="0"/>
        <w:rPr>
          <w:rFonts w:hint="eastAsia"/>
        </w:rPr>
      </w:pPr>
    </w:p>
    <w:p w14:paraId="158FC674">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 xml:space="preserve">12                 </w:t>
      </w:r>
    </w:p>
    <w:p w14:paraId="2DD09FB5">
      <w:pPr>
        <w:jc w:val="center"/>
        <w:rPr>
          <w:rFonts w:hint="eastAsia" w:ascii="仿宋" w:hAnsi="仿宋" w:eastAsia="仿宋" w:cs="仿宋"/>
          <w:b/>
          <w:bCs/>
          <w:sz w:val="28"/>
          <w:szCs w:val="28"/>
        </w:rPr>
      </w:pPr>
      <w:r>
        <w:rPr>
          <w:rFonts w:hint="eastAsia" w:ascii="仿宋" w:hAnsi="仿宋" w:eastAsia="仿宋" w:cs="仿宋"/>
          <w:b/>
          <w:bCs/>
          <w:sz w:val="28"/>
          <w:szCs w:val="28"/>
        </w:rPr>
        <w:t>质疑函范本</w:t>
      </w:r>
    </w:p>
    <w:p w14:paraId="15F05CCB">
      <w:pPr>
        <w:adjustRightInd w:val="0"/>
        <w:snapToGrid w:val="0"/>
        <w:spacing w:beforeLines="100" w:line="360" w:lineRule="auto"/>
        <w:rPr>
          <w:rFonts w:hint="eastAsia" w:ascii="仿宋" w:hAnsi="仿宋" w:eastAsia="仿宋" w:cs="仿宋"/>
          <w:bCs/>
          <w:sz w:val="24"/>
          <w:szCs w:val="24"/>
        </w:rPr>
      </w:pPr>
      <w:r>
        <w:rPr>
          <w:rFonts w:hint="eastAsia" w:ascii="仿宋" w:hAnsi="仿宋" w:eastAsia="仿宋" w:cs="仿宋"/>
          <w:bCs/>
          <w:sz w:val="24"/>
          <w:szCs w:val="24"/>
        </w:rPr>
        <w:t>一、质疑供应商基本信息</w:t>
      </w:r>
    </w:p>
    <w:p w14:paraId="5FA863F2">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质疑供应商：</w:t>
      </w:r>
      <w:r>
        <w:rPr>
          <w:rFonts w:hint="eastAsia" w:ascii="仿宋" w:hAnsi="仿宋" w:eastAsia="仿宋" w:cs="仿宋"/>
          <w:sz w:val="24"/>
          <w:szCs w:val="24"/>
          <w:u w:val="dotted"/>
        </w:rPr>
        <w:t xml:space="preserve">                                                              </w:t>
      </w:r>
    </w:p>
    <w:p w14:paraId="53B74C52">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547D80F1">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0B1CB2D8">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2A44F54D">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38DF873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05E7C1FE">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二、质疑项目基本情况</w:t>
      </w:r>
    </w:p>
    <w:p w14:paraId="2680C79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7A4C93A2">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76ACED2B">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31BDEAC4">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40C05B38">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三、质疑事项具体内容</w:t>
      </w:r>
    </w:p>
    <w:p w14:paraId="205472AA">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220BE53D">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07BE2D86">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u w:val="dotted"/>
        </w:rPr>
        <w:t xml:space="preserve">                                                                           </w:t>
      </w:r>
    </w:p>
    <w:p w14:paraId="06065FFB">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0A5FE769">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u w:val="dotted"/>
        </w:rPr>
        <w:t xml:space="preserve">                                                                           </w:t>
      </w:r>
    </w:p>
    <w:p w14:paraId="216C3FF3">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质疑事项2</w:t>
      </w:r>
    </w:p>
    <w:p w14:paraId="4F0906A8">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w:t>
      </w:r>
    </w:p>
    <w:p w14:paraId="1792D1E3">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四、与质疑事项相关的质疑请求</w:t>
      </w:r>
    </w:p>
    <w:p w14:paraId="0B9F312D">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6D923A9B">
      <w:pPr>
        <w:rPr>
          <w:rFonts w:hint="eastAsia" w:ascii="仿宋" w:hAnsi="仿宋" w:eastAsia="仿宋" w:cs="仿宋"/>
          <w:sz w:val="24"/>
          <w:szCs w:val="24"/>
        </w:rPr>
      </w:pPr>
      <w:r>
        <w:rPr>
          <w:rFonts w:hint="eastAsia" w:ascii="仿宋" w:hAnsi="仿宋" w:eastAsia="仿宋" w:cs="仿宋"/>
          <w:sz w:val="24"/>
          <w:szCs w:val="24"/>
        </w:rPr>
        <w:t xml:space="preserve">签字(签章)：                   公章：                      </w:t>
      </w:r>
    </w:p>
    <w:p w14:paraId="728713EB">
      <w:pPr>
        <w:rPr>
          <w:rFonts w:hint="eastAsia" w:ascii="仿宋" w:hAnsi="仿宋" w:eastAsia="仿宋" w:cs="仿宋"/>
          <w:sz w:val="24"/>
          <w:szCs w:val="24"/>
        </w:rPr>
      </w:pPr>
      <w:r>
        <w:rPr>
          <w:rFonts w:hint="eastAsia" w:ascii="仿宋" w:hAnsi="仿宋" w:eastAsia="仿宋" w:cs="仿宋"/>
          <w:sz w:val="24"/>
          <w:szCs w:val="24"/>
        </w:rPr>
        <w:t xml:space="preserve">日期：    </w:t>
      </w:r>
    </w:p>
    <w:p w14:paraId="3B162949">
      <w:pPr>
        <w:spacing w:line="400" w:lineRule="exact"/>
        <w:rPr>
          <w:rFonts w:hint="eastAsia" w:ascii="仿宋" w:hAnsi="仿宋" w:eastAsia="仿宋" w:cs="仿宋"/>
          <w:b/>
          <w:sz w:val="24"/>
          <w:szCs w:val="24"/>
        </w:rPr>
      </w:pPr>
    </w:p>
    <w:p w14:paraId="07543409">
      <w:pPr>
        <w:spacing w:line="400" w:lineRule="exact"/>
        <w:rPr>
          <w:rFonts w:hint="eastAsia" w:ascii="仿宋" w:hAnsi="仿宋" w:eastAsia="仿宋" w:cs="仿宋"/>
          <w:b/>
          <w:sz w:val="24"/>
          <w:szCs w:val="24"/>
        </w:rPr>
      </w:pPr>
    </w:p>
    <w:p w14:paraId="7B079156">
      <w:pPr>
        <w:spacing w:line="400" w:lineRule="exact"/>
        <w:rPr>
          <w:rFonts w:hint="eastAsia" w:ascii="仿宋" w:hAnsi="仿宋" w:eastAsia="仿宋" w:cs="仿宋"/>
          <w:b/>
          <w:sz w:val="24"/>
          <w:szCs w:val="24"/>
        </w:rPr>
      </w:pPr>
      <w:r>
        <w:rPr>
          <w:rFonts w:hint="eastAsia" w:ascii="仿宋" w:hAnsi="仿宋" w:eastAsia="仿宋" w:cs="仿宋"/>
          <w:b/>
          <w:sz w:val="24"/>
          <w:szCs w:val="24"/>
        </w:rPr>
        <w:t>质疑函制作说明：</w:t>
      </w:r>
    </w:p>
    <w:p w14:paraId="6064BE6A">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0E973DD1">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0558361D">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6BD38F57">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5D1803EB">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5.质疑函的质疑请求应与质疑事项相关。</w:t>
      </w:r>
    </w:p>
    <w:p w14:paraId="20A6C2F2">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11ECDF00">
      <w:pPr>
        <w:ind w:firstLine="420"/>
        <w:rPr>
          <w:rFonts w:hint="eastAsia" w:ascii="仿宋" w:hAnsi="仿宋" w:eastAsia="仿宋" w:cs="仿宋"/>
          <w:sz w:val="24"/>
          <w:szCs w:val="24"/>
          <w:lang w:val="en-US" w:eastAsia="zh-CN"/>
        </w:rPr>
      </w:pPr>
    </w:p>
    <w:p w14:paraId="2533B75D">
      <w:pPr>
        <w:ind w:firstLine="420"/>
        <w:rPr>
          <w:rFonts w:hint="eastAsia" w:ascii="仿宋" w:hAnsi="仿宋" w:eastAsia="仿宋" w:cs="仿宋"/>
          <w:sz w:val="24"/>
          <w:szCs w:val="24"/>
          <w:lang w:val="en-US" w:eastAsia="zh-CN"/>
        </w:rPr>
      </w:pPr>
    </w:p>
    <w:p w14:paraId="2B6BDE91">
      <w:pPr>
        <w:ind w:firstLine="420"/>
        <w:rPr>
          <w:rFonts w:hint="eastAsia" w:ascii="仿宋" w:hAnsi="仿宋" w:eastAsia="仿宋" w:cs="仿宋"/>
          <w:sz w:val="24"/>
          <w:szCs w:val="24"/>
          <w:lang w:val="en-US" w:eastAsia="zh-CN"/>
        </w:rPr>
      </w:pPr>
    </w:p>
    <w:p w14:paraId="62F185FC">
      <w:pPr>
        <w:ind w:firstLine="420"/>
        <w:rPr>
          <w:rFonts w:hint="eastAsia" w:ascii="仿宋" w:hAnsi="仿宋" w:eastAsia="仿宋" w:cs="仿宋"/>
          <w:sz w:val="24"/>
          <w:szCs w:val="24"/>
          <w:lang w:val="en-US" w:eastAsia="zh-CN"/>
        </w:rPr>
      </w:pPr>
    </w:p>
    <w:p w14:paraId="14456C23">
      <w:pPr>
        <w:ind w:firstLine="420"/>
        <w:rPr>
          <w:rFonts w:hint="eastAsia" w:ascii="仿宋" w:hAnsi="仿宋" w:eastAsia="仿宋" w:cs="仿宋"/>
          <w:sz w:val="24"/>
          <w:szCs w:val="24"/>
          <w:lang w:val="en-US" w:eastAsia="zh-CN"/>
        </w:rPr>
      </w:pPr>
    </w:p>
    <w:p w14:paraId="37AB125B">
      <w:pPr>
        <w:ind w:firstLine="420"/>
        <w:rPr>
          <w:rFonts w:hint="eastAsia" w:ascii="仿宋" w:hAnsi="仿宋" w:eastAsia="仿宋" w:cs="仿宋"/>
          <w:sz w:val="24"/>
          <w:szCs w:val="24"/>
          <w:lang w:val="en-US" w:eastAsia="zh-CN"/>
        </w:rPr>
      </w:pPr>
    </w:p>
    <w:p w14:paraId="0037DEB0">
      <w:pPr>
        <w:ind w:firstLine="420"/>
        <w:rPr>
          <w:rFonts w:hint="eastAsia" w:ascii="仿宋" w:hAnsi="仿宋" w:eastAsia="仿宋" w:cs="仿宋"/>
          <w:sz w:val="24"/>
          <w:szCs w:val="24"/>
          <w:lang w:val="en-US" w:eastAsia="zh-CN"/>
        </w:rPr>
      </w:pPr>
    </w:p>
    <w:p w14:paraId="17F9380E">
      <w:pPr>
        <w:ind w:firstLine="420"/>
        <w:rPr>
          <w:rFonts w:hint="eastAsia" w:ascii="仿宋" w:hAnsi="仿宋" w:eastAsia="仿宋" w:cs="仿宋"/>
          <w:sz w:val="24"/>
          <w:szCs w:val="24"/>
          <w:lang w:val="en-US" w:eastAsia="zh-CN"/>
        </w:rPr>
      </w:pPr>
    </w:p>
    <w:p w14:paraId="10C8B6C2">
      <w:pPr>
        <w:ind w:firstLine="420"/>
        <w:rPr>
          <w:rFonts w:hint="eastAsia" w:ascii="仿宋" w:hAnsi="仿宋" w:eastAsia="仿宋" w:cs="仿宋"/>
          <w:sz w:val="24"/>
          <w:szCs w:val="24"/>
          <w:lang w:val="en-US" w:eastAsia="zh-CN"/>
        </w:rPr>
      </w:pPr>
    </w:p>
    <w:p w14:paraId="7F561960">
      <w:pPr>
        <w:ind w:firstLine="420"/>
        <w:rPr>
          <w:rFonts w:hint="eastAsia" w:ascii="仿宋" w:hAnsi="仿宋" w:eastAsia="仿宋" w:cs="仿宋"/>
          <w:sz w:val="24"/>
          <w:szCs w:val="24"/>
          <w:lang w:val="en-US" w:eastAsia="zh-CN"/>
        </w:rPr>
      </w:pPr>
    </w:p>
    <w:p w14:paraId="678A7E35">
      <w:pPr>
        <w:ind w:firstLine="420"/>
        <w:rPr>
          <w:rFonts w:hint="eastAsia" w:ascii="仿宋" w:hAnsi="仿宋" w:eastAsia="仿宋" w:cs="仿宋"/>
          <w:sz w:val="24"/>
          <w:szCs w:val="24"/>
          <w:lang w:val="en-US" w:eastAsia="zh-CN"/>
        </w:rPr>
      </w:pPr>
    </w:p>
    <w:p w14:paraId="06DDA498">
      <w:pPr>
        <w:ind w:firstLine="420"/>
        <w:rPr>
          <w:rFonts w:hint="eastAsia" w:ascii="仿宋" w:hAnsi="仿宋" w:eastAsia="仿宋" w:cs="仿宋"/>
          <w:sz w:val="24"/>
          <w:szCs w:val="24"/>
          <w:lang w:val="en-US" w:eastAsia="zh-CN"/>
        </w:rPr>
      </w:pPr>
    </w:p>
    <w:p w14:paraId="43E84BA0">
      <w:pPr>
        <w:ind w:firstLine="420"/>
        <w:rPr>
          <w:rFonts w:hint="eastAsia" w:ascii="仿宋" w:hAnsi="仿宋" w:eastAsia="仿宋" w:cs="仿宋"/>
          <w:sz w:val="24"/>
          <w:szCs w:val="24"/>
          <w:lang w:val="en-US" w:eastAsia="zh-CN"/>
        </w:rPr>
      </w:pPr>
    </w:p>
    <w:p w14:paraId="479AADFA">
      <w:pPr>
        <w:ind w:firstLine="420"/>
        <w:rPr>
          <w:rFonts w:hint="eastAsia" w:ascii="仿宋" w:hAnsi="仿宋" w:eastAsia="仿宋" w:cs="仿宋"/>
          <w:sz w:val="24"/>
          <w:szCs w:val="24"/>
          <w:lang w:val="en-US" w:eastAsia="zh-CN"/>
        </w:rPr>
      </w:pPr>
    </w:p>
    <w:p w14:paraId="19125845">
      <w:pPr>
        <w:ind w:firstLine="420"/>
        <w:rPr>
          <w:rFonts w:hint="eastAsia" w:ascii="仿宋" w:hAnsi="仿宋" w:eastAsia="仿宋" w:cs="仿宋"/>
          <w:sz w:val="24"/>
          <w:szCs w:val="24"/>
          <w:lang w:val="en-US" w:eastAsia="zh-CN"/>
        </w:rPr>
      </w:pPr>
    </w:p>
    <w:p w14:paraId="6B590A9E">
      <w:pPr>
        <w:widowControl/>
        <w:jc w:val="left"/>
        <w:outlineLvl w:val="0"/>
        <w:rPr>
          <w:rFonts w:hint="eastAsia" w:ascii="仿宋" w:hAnsi="仿宋" w:eastAsia="仿宋" w:cs="仿宋"/>
          <w:b/>
          <w:bCs/>
          <w:color w:val="auto"/>
          <w:kern w:val="0"/>
          <w:sz w:val="28"/>
          <w:szCs w:val="28"/>
          <w:lang w:val="en-US" w:eastAsia="zh-CN"/>
        </w:rPr>
      </w:pPr>
      <w:bookmarkStart w:id="222" w:name="_Toc1372"/>
      <w:bookmarkStart w:id="223" w:name="_Toc5831"/>
      <w:bookmarkStart w:id="224" w:name="_Toc31274"/>
    </w:p>
    <w:p w14:paraId="72CDC27C">
      <w:pPr>
        <w:widowControl/>
        <w:jc w:val="left"/>
        <w:outlineLvl w:val="0"/>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附件1</w:t>
      </w:r>
      <w:bookmarkEnd w:id="222"/>
      <w:bookmarkEnd w:id="223"/>
      <w:bookmarkEnd w:id="224"/>
      <w:r>
        <w:rPr>
          <w:rFonts w:hint="eastAsia" w:ascii="仿宋" w:hAnsi="仿宋" w:eastAsia="仿宋" w:cs="仿宋"/>
          <w:b/>
          <w:bCs/>
          <w:color w:val="auto"/>
          <w:kern w:val="0"/>
          <w:sz w:val="28"/>
          <w:szCs w:val="28"/>
          <w:lang w:val="en-US" w:eastAsia="zh-CN"/>
        </w:rPr>
        <w:t>3</w:t>
      </w:r>
    </w:p>
    <w:p w14:paraId="532B3FBE">
      <w:pPr>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办理政采贷和履约保函（保险）告知函</w:t>
      </w:r>
    </w:p>
    <w:p w14:paraId="68587908">
      <w:pPr>
        <w:rPr>
          <w:rFonts w:hint="eastAsia" w:ascii="仿宋" w:hAnsi="仿宋" w:eastAsia="仿宋" w:cs="仿宋"/>
          <w:sz w:val="24"/>
          <w:szCs w:val="24"/>
        </w:rPr>
      </w:pPr>
    </w:p>
    <w:p w14:paraId="081A4B25">
      <w:pPr>
        <w:rPr>
          <w:rFonts w:hint="eastAsia" w:ascii="仿宋" w:hAnsi="仿宋" w:eastAsia="仿宋" w:cs="仿宋"/>
          <w:sz w:val="24"/>
          <w:szCs w:val="24"/>
        </w:rPr>
      </w:pPr>
      <w:r>
        <w:rPr>
          <w:rFonts w:hint="eastAsia" w:ascii="仿宋" w:hAnsi="仿宋" w:eastAsia="仿宋" w:cs="仿宋"/>
          <w:sz w:val="24"/>
          <w:szCs w:val="24"/>
        </w:rPr>
        <w:t>各政府采购供应商：</w:t>
      </w:r>
    </w:p>
    <w:p w14:paraId="26C3E2D2">
      <w:pPr>
        <w:ind w:firstLine="480" w:firstLineChars="200"/>
        <w:rPr>
          <w:rFonts w:hint="eastAsia" w:ascii="仿宋" w:hAnsi="仿宋" w:eastAsia="仿宋" w:cs="仿宋"/>
          <w:sz w:val="24"/>
          <w:szCs w:val="24"/>
        </w:rPr>
      </w:pPr>
      <w:r>
        <w:rPr>
          <w:rFonts w:hint="eastAsia" w:ascii="仿宋" w:hAnsi="仿宋" w:eastAsia="仿宋" w:cs="仿宋"/>
          <w:sz w:val="24"/>
          <w:szCs w:val="24"/>
        </w:rPr>
        <w:t>欢迎贵公司参与南通市政府采购活动！</w:t>
      </w:r>
    </w:p>
    <w:p w14:paraId="5A60CA64">
      <w:pPr>
        <w:ind w:firstLine="480" w:firstLineChars="200"/>
        <w:rPr>
          <w:rFonts w:hint="eastAsia"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21065CFA">
      <w:pPr>
        <w:ind w:firstLine="480" w:firstLineChars="200"/>
        <w:rPr>
          <w:rFonts w:hint="eastAsia" w:ascii="仿宋" w:hAnsi="仿宋" w:eastAsia="仿宋" w:cs="仿宋"/>
          <w:sz w:val="24"/>
          <w:szCs w:val="24"/>
        </w:rPr>
      </w:pPr>
      <w:r>
        <w:rPr>
          <w:rFonts w:hint="eastAsia" w:ascii="仿宋" w:hAnsi="仿宋" w:eastAsia="仿宋" w:cs="仿宋"/>
          <w:sz w:val="24"/>
          <w:szCs w:val="24"/>
        </w:rPr>
        <w:t>贵公司若成为本次政府采购项目的</w:t>
      </w:r>
      <w:r>
        <w:rPr>
          <w:rFonts w:hint="eastAsia" w:ascii="仿宋" w:hAnsi="仿宋" w:eastAsia="仿宋" w:cs="仿宋"/>
          <w:sz w:val="24"/>
          <w:szCs w:val="24"/>
          <w:lang w:eastAsia="zh-CN"/>
        </w:rPr>
        <w:t>成交</w:t>
      </w:r>
      <w:r>
        <w:rPr>
          <w:rFonts w:hint="eastAsia" w:ascii="仿宋" w:hAnsi="仿宋" w:eastAsia="仿宋" w:cs="仿宋"/>
          <w:sz w:val="24"/>
          <w:szCs w:val="24"/>
        </w:rPr>
        <w:t>（成交）供应商，可自愿选择履约保函（保险）形式替代履约保证金，也可持政府采购合同在线向金融机构申请无抵押无担保贷款。第三方机构将根据《转发关于在全省政府采购领域推行电子履约保函（保险）的通知》（通财购〔20</w:t>
      </w:r>
      <w:r>
        <w:rPr>
          <w:rFonts w:hint="eastAsia" w:ascii="仿宋" w:hAnsi="仿宋" w:eastAsia="仿宋" w:cs="仿宋"/>
          <w:sz w:val="24"/>
          <w:szCs w:val="24"/>
          <w:lang w:val="en-US" w:eastAsia="zh-CN"/>
        </w:rPr>
        <w:t>23</w:t>
      </w:r>
      <w:r>
        <w:rPr>
          <w:rFonts w:hint="eastAsia" w:ascii="仿宋" w:hAnsi="仿宋" w:eastAsia="仿宋" w:cs="仿宋"/>
          <w:sz w:val="24"/>
          <w:szCs w:val="24"/>
        </w:rPr>
        <w:t>〕</w:t>
      </w:r>
      <w:r>
        <w:rPr>
          <w:rFonts w:hint="eastAsia" w:ascii="仿宋" w:hAnsi="仿宋" w:eastAsia="仿宋" w:cs="仿宋"/>
          <w:sz w:val="24"/>
          <w:szCs w:val="24"/>
          <w:lang w:val="en-US" w:eastAsia="zh-CN"/>
        </w:rPr>
        <w:t>57</w:t>
      </w:r>
      <w:r>
        <w:rPr>
          <w:rFonts w:hint="eastAsia" w:ascii="仿宋" w:hAnsi="仿宋" w:eastAsia="仿宋" w:cs="仿宋"/>
          <w:sz w:val="24"/>
          <w:szCs w:val="24"/>
        </w:rPr>
        <w:t>号）和《关于深入开展南通市政府采购线上合同信用融资业务的通知》（通财购〔20</w:t>
      </w:r>
      <w:r>
        <w:rPr>
          <w:rFonts w:hint="eastAsia" w:ascii="仿宋" w:hAnsi="仿宋" w:eastAsia="仿宋" w:cs="仿宋"/>
          <w:sz w:val="24"/>
          <w:szCs w:val="24"/>
          <w:lang w:val="en-US" w:eastAsia="zh-CN"/>
        </w:rPr>
        <w:t>22</w:t>
      </w:r>
      <w:r>
        <w:rPr>
          <w:rFonts w:hint="eastAsia" w:ascii="仿宋" w:hAnsi="仿宋" w:eastAsia="仿宋" w:cs="仿宋"/>
          <w:sz w:val="24"/>
          <w:szCs w:val="24"/>
        </w:rPr>
        <w:t>〕68号），按照双方自愿的原则提供便捷、优惠的服务。</w:t>
      </w:r>
    </w:p>
    <w:p w14:paraId="3438817F">
      <w:pPr>
        <w:rPr>
          <w:rFonts w:hint="eastAsia" w:ascii="仿宋" w:hAnsi="仿宋" w:eastAsia="仿宋" w:cs="仿宋"/>
          <w:sz w:val="24"/>
          <w:szCs w:val="24"/>
        </w:rPr>
      </w:pPr>
    </w:p>
    <w:p w14:paraId="013390A5">
      <w:pPr>
        <w:snapToGrid w:val="0"/>
        <w:spacing w:line="300" w:lineRule="auto"/>
        <w:outlineLvl w:val="9"/>
        <w:rPr>
          <w:rFonts w:hint="eastAsia" w:ascii="仿宋" w:hAnsi="仿宋" w:eastAsia="仿宋" w:cs="仿宋"/>
          <w:color w:val="auto"/>
          <w:sz w:val="24"/>
          <w:szCs w:val="24"/>
        </w:rPr>
      </w:pPr>
    </w:p>
    <w:p w14:paraId="60168318">
      <w:pPr>
        <w:rPr>
          <w:rFonts w:hint="eastAsia" w:ascii="仿宋" w:hAnsi="仿宋" w:eastAsia="仿宋" w:cs="仿宋"/>
          <w:color w:val="FF0000"/>
          <w:kern w:val="0"/>
          <w:sz w:val="24"/>
          <w:szCs w:val="24"/>
          <w:lang w:val="zh-CN"/>
        </w:rPr>
      </w:pPr>
    </w:p>
    <w:p w14:paraId="2553B3D9">
      <w:pPr>
        <w:rPr>
          <w:rFonts w:hint="eastAsia" w:ascii="仿宋" w:hAnsi="仿宋" w:eastAsia="仿宋" w:cs="仿宋"/>
          <w:color w:val="FF0000"/>
          <w:kern w:val="0"/>
          <w:sz w:val="24"/>
          <w:szCs w:val="24"/>
          <w:lang w:val="zh-CN"/>
        </w:rPr>
      </w:pPr>
    </w:p>
    <w:p w14:paraId="660670CF">
      <w:pPr>
        <w:rPr>
          <w:rFonts w:hint="eastAsia" w:ascii="仿宋" w:hAnsi="仿宋" w:eastAsia="仿宋" w:cs="仿宋"/>
        </w:rPr>
      </w:pPr>
    </w:p>
    <w:sectPr>
      <w:headerReference r:id="rId5" w:type="default"/>
      <w:footerReference r:id="rId6" w:type="default"/>
      <w:footerReference r:id="rId7" w:type="even"/>
      <w:pgSz w:w="11906" w:h="16838"/>
      <w:pgMar w:top="1418" w:right="1588" w:bottom="1418" w:left="1365" w:header="851" w:footer="907" w:gutter="0"/>
      <w:pgBorders>
        <w:top w:val="none" w:sz="0" w:space="0"/>
        <w:left w:val="none" w:sz="0" w:space="0"/>
        <w:bottom w:val="none" w:sz="0" w:space="0"/>
        <w:right w:val="none" w:sz="0" w:space="0"/>
      </w:pgBorders>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88616">
    <w:pPr>
      <w:pStyle w:val="32"/>
      <w:ind w:right="360"/>
    </w:pPr>
    <w:r>
      <w:rPr>
        <w:rFonts w:hint="default" w:ascii="Calibri" w:hAnsi="Calibri"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17043F74">
                          <w:pPr>
                            <w:pStyle w:val="32"/>
                            <w:tabs>
                              <w:tab w:val="clear" w:pos="4153"/>
                              <w:tab w:val="clear" w:pos="8306"/>
                            </w:tabs>
                          </w:pPr>
                          <w:r>
                            <w:fldChar w:fldCharType="begin"/>
                          </w:r>
                          <w:r>
                            <w:instrText xml:space="preserve"> PAGE  \* MERGEFORMAT </w:instrText>
                          </w:r>
                          <w:r>
                            <w:fldChar w:fldCharType="separate"/>
                          </w:r>
                          <w:r>
                            <w:t>17</w:t>
                          </w:r>
                          <w:r>
                            <w:fldChar w:fldCharType="end"/>
                          </w:r>
                        </w:p>
                        <w:p w14:paraId="766208FC"/>
                      </w:txbxContent>
                    </wps:txbx>
                    <wps:bodyPr wrap="none" lIns="0" tIns="0" rIns="0" bIns="0" upright="1">
                      <a:spAutoFit/>
                    </wps:bodyPr>
                  </wps:wsp>
                </a:graphicData>
              </a:graphic>
            </wp:anchor>
          </w:drawing>
        </mc:Choice>
        <mc:Fallback>
          <w:pict>
            <v:rect id="矩形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QdVE3JAQAAmgMAAA4AAABkcnMvZTJvRG9jLnhtbK1Ty6rbMBDdF/oP&#10;QvvGcaAlmDiXQkgp9HHhth8gy3Is0IsZJXa+ptBdP6KfU/obHcl22t5u7qIbMTManznnjLy7G61h&#10;FwWovat5uVpzppz0rXanmn/+dHyx5QyjcK0w3qmaXxXyu/3zZ7shVGrje29aBYxAHFZDqHkfY6iK&#10;AmWvrMCVD8rRZefBikgpnIoWxEDo1hSb9fpVMXhoA3ipEKl6mC75jAhPAfRdp6U6eHm2ysUJFZQR&#10;kSRhrwPyfWbbdUrGj12HKjJTc1Ia80lDKG7SWex3ojqBCL2WMwXxFAqPNFmhHQ29QR1EFOwM+h8o&#10;qyV49F1cSW+LSUh2hFSU60fePPQiqKyFrMZwMx3/H6z8cLkHptuav+TMCUsL//nl24/vX1mZvBkC&#10;VtTyEO5hzpBC1gzvfUut4hx9lj12YJN8EsTG7O715q4aI5NULLeb7XZNxku6WxJCLUS1fB4A4xvl&#10;LUtBzYHWl+HF5R3GqXVpSdOcP2pjqC4q4/4qEGaqFIl/YjwpiWMzzjIa315JyECbr7mjh86ZeevI&#10;2PRIlgCWoFmCcwB96olamXlheE0OHHXmlmZNsPNgWllWNz+v9Cb+zHPX719q/w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lB1UTckBAACaAwAADgAAAAAAAAABACAAAAAfAQAAZHJzL2Uyb0Rv&#10;Yy54bWxQSwUGAAAAAAYABgBZAQAAWgUAAAAA&#10;">
              <v:fill on="f" focussize="0,0"/>
              <v:stroke on="f"/>
              <v:imagedata o:title=""/>
              <o:lock v:ext="edit" aspectratio="f"/>
              <v:textbox inset="0mm,0mm,0mm,0mm" style="mso-fit-shape-to-text:t;">
                <w:txbxContent>
                  <w:p w14:paraId="17043F74">
                    <w:pPr>
                      <w:pStyle w:val="32"/>
                      <w:tabs>
                        <w:tab w:val="clear" w:pos="4153"/>
                        <w:tab w:val="clear" w:pos="8306"/>
                      </w:tabs>
                    </w:pPr>
                    <w:r>
                      <w:fldChar w:fldCharType="begin"/>
                    </w:r>
                    <w:r>
                      <w:instrText xml:space="preserve"> PAGE  \* MERGEFORMAT </w:instrText>
                    </w:r>
                    <w:r>
                      <w:fldChar w:fldCharType="separate"/>
                    </w:r>
                    <w:r>
                      <w:t>17</w:t>
                    </w:r>
                    <w:r>
                      <w:fldChar w:fldCharType="end"/>
                    </w:r>
                  </w:p>
                  <w:p w14:paraId="766208FC"/>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EC70E">
    <w:pPr>
      <w:pStyle w:val="10"/>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6C02AE82">
                          <w:pPr>
                            <w:pStyle w:val="1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BHzW3KAQAAmgMAAA4AAABkcnMvZTJvRG9jLnhtbK1TTarbMBDeF3oH&#10;oX1jJ4tHMHEehZBS6M+D1x5AluVYIGmERomd0xS66yF6nNJrdCTbafu6eYtuxMxo/M33fSPv7kdr&#10;2EUF1OBqvl6VnCknodXuVPPPn46vtpxhFK4VBpyq+VUhv9+/fLEbfKU20INpVWAE4rAafM37GH1V&#10;FCh7ZQWuwCtHlx0EKyKl4VS0QQyEbk2xKcu7YoDQ+gBSIVL1MF3yGTE8BxC6Tkt1AHm2ysUJNSgj&#10;IknCXnvk+8y265SMH7sOVWSm5qQ05pOGUNyks9jvRHUKwvdazhTEcyg80WSFdjT0BnUQUbBz0P9A&#10;WS0DIHRxJcEWk5DsCKlYl0+8eeyFV1kLWY3+Zjr+P1j54fIQmG5rfseZE5YW/vPLtx/fv7JN8mbw&#10;WFHLo38Ic4YUsmZ4Dy21inOELHvsgk3ySRAbs7vXm7tqjExScb3dbLclGS/pbkkItRDV8rkPGN8o&#10;sCwFNQ+0vgwvLu8wTq1LS5rm4KiNobqojPurQJipUiT+ifGkJI7NOMtooL2SkIE2X3NHD50z89aR&#10;semRLEFYgmYJzj7oU0/U1pkX+tfkwFFnbmnWBDsPppVldfPzSm/izzx3/f6l9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BHzW3KAQAAmgMAAA4AAAAAAAAAAQAgAAAAHwEAAGRycy9lMm9E&#10;b2MueG1sUEsFBgAAAAAGAAYAWQEAAFsFAAAAAA==&#10;">
              <v:fill on="f" focussize="0,0"/>
              <v:stroke on="f"/>
              <v:imagedata o:title=""/>
              <o:lock v:ext="edit" aspectratio="f"/>
              <v:textbox inset="0mm,0mm,0mm,0mm" style="mso-fit-shape-to-text:t;">
                <w:txbxContent>
                  <w:p w14:paraId="6C02AE82">
                    <w:pPr>
                      <w:pStyle w:val="1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E82B6">
    <w:pPr>
      <w:pStyle w:val="10"/>
      <w:framePr w:wrap="around" w:vAnchor="text" w:hAnchor="margin" w:xAlign="center" w:y="1"/>
      <w:rPr>
        <w:rStyle w:val="19"/>
        <w:rFonts w:ascii="宋体" w:hAnsi="宋体"/>
      </w:rPr>
    </w:pPr>
    <w:r>
      <w:rPr>
        <w:rFonts w:ascii="宋体" w:hAnsi="宋体"/>
      </w:rPr>
      <w:fldChar w:fldCharType="begin"/>
    </w:r>
    <w:r>
      <w:rPr>
        <w:rStyle w:val="19"/>
        <w:rFonts w:ascii="宋体" w:hAnsi="宋体"/>
      </w:rPr>
      <w:instrText xml:space="preserve">PAGE  </w:instrText>
    </w:r>
    <w:r>
      <w:rPr>
        <w:rFonts w:ascii="宋体" w:hAnsi="宋体"/>
      </w:rPr>
      <w:fldChar w:fldCharType="separate"/>
    </w:r>
    <w:r>
      <w:rPr>
        <w:rStyle w:val="19"/>
        <w:rFonts w:ascii="宋体" w:hAnsi="宋体"/>
      </w:rPr>
      <w:t>３７</w:t>
    </w:r>
    <w:r>
      <w:rPr>
        <w:rFonts w:ascii="宋体" w:hAnsi="宋体"/>
      </w:rPr>
      <w:fldChar w:fldCharType="end"/>
    </w:r>
  </w:p>
  <w:p w14:paraId="56EDC655">
    <w:pPr>
      <w:pStyle w:val="10"/>
      <w:jc w:val="center"/>
      <w:rPr>
        <w:rFonts w:hint="eastAsia"/>
        <w:b/>
        <w:i/>
      </w:rPr>
    </w:pP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54EAF">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1</w:t>
    </w:r>
    <w:r>
      <w:fldChar w:fldCharType="end"/>
    </w:r>
  </w:p>
  <w:p w14:paraId="2CB13A5B">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161D9">
    <w:pPr>
      <w:pStyle w:val="1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6BDB"/>
    <w:rsid w:val="01513F8F"/>
    <w:rsid w:val="01F66ABD"/>
    <w:rsid w:val="027345B1"/>
    <w:rsid w:val="029003E1"/>
    <w:rsid w:val="02D7005C"/>
    <w:rsid w:val="031048F7"/>
    <w:rsid w:val="03192A63"/>
    <w:rsid w:val="035E423B"/>
    <w:rsid w:val="036068E4"/>
    <w:rsid w:val="03634626"/>
    <w:rsid w:val="03756FFA"/>
    <w:rsid w:val="04770389"/>
    <w:rsid w:val="04A40A52"/>
    <w:rsid w:val="04C56C73"/>
    <w:rsid w:val="04EB48D3"/>
    <w:rsid w:val="04ED41A7"/>
    <w:rsid w:val="066C31F2"/>
    <w:rsid w:val="071015E4"/>
    <w:rsid w:val="072F4FA5"/>
    <w:rsid w:val="07693704"/>
    <w:rsid w:val="07D632D1"/>
    <w:rsid w:val="080517DB"/>
    <w:rsid w:val="085A5BA3"/>
    <w:rsid w:val="0897694C"/>
    <w:rsid w:val="08993C83"/>
    <w:rsid w:val="08BB5C49"/>
    <w:rsid w:val="0AF7207B"/>
    <w:rsid w:val="0B0D4741"/>
    <w:rsid w:val="0B674587"/>
    <w:rsid w:val="0C3A1F5E"/>
    <w:rsid w:val="0C6A432F"/>
    <w:rsid w:val="0CE90D0D"/>
    <w:rsid w:val="0CFE6269"/>
    <w:rsid w:val="0D270617"/>
    <w:rsid w:val="0D915810"/>
    <w:rsid w:val="0DB9564E"/>
    <w:rsid w:val="0EAB3241"/>
    <w:rsid w:val="0EBB5F81"/>
    <w:rsid w:val="0ECA5559"/>
    <w:rsid w:val="0F8B1E46"/>
    <w:rsid w:val="10332CC5"/>
    <w:rsid w:val="1036740B"/>
    <w:rsid w:val="123A7A32"/>
    <w:rsid w:val="12AE08D7"/>
    <w:rsid w:val="12EE0561"/>
    <w:rsid w:val="130700B1"/>
    <w:rsid w:val="13BA3C51"/>
    <w:rsid w:val="13CA46E9"/>
    <w:rsid w:val="15CC3C7E"/>
    <w:rsid w:val="160D11E9"/>
    <w:rsid w:val="16486039"/>
    <w:rsid w:val="18152DE9"/>
    <w:rsid w:val="1849373C"/>
    <w:rsid w:val="19682E4E"/>
    <w:rsid w:val="1AA374E3"/>
    <w:rsid w:val="1AF57AAD"/>
    <w:rsid w:val="1B0B4F05"/>
    <w:rsid w:val="1B386E6F"/>
    <w:rsid w:val="1C7F01FC"/>
    <w:rsid w:val="1CF739BD"/>
    <w:rsid w:val="1D415948"/>
    <w:rsid w:val="1DF41921"/>
    <w:rsid w:val="1EFA74E1"/>
    <w:rsid w:val="1F704058"/>
    <w:rsid w:val="1FB70ECA"/>
    <w:rsid w:val="1FC57DA2"/>
    <w:rsid w:val="20C24D14"/>
    <w:rsid w:val="21057D8F"/>
    <w:rsid w:val="214A07A8"/>
    <w:rsid w:val="21A8353A"/>
    <w:rsid w:val="21BA0BA5"/>
    <w:rsid w:val="22582B5B"/>
    <w:rsid w:val="229A6340"/>
    <w:rsid w:val="234E165A"/>
    <w:rsid w:val="235E6D9B"/>
    <w:rsid w:val="23731D93"/>
    <w:rsid w:val="243957DC"/>
    <w:rsid w:val="246928DC"/>
    <w:rsid w:val="254D551C"/>
    <w:rsid w:val="25CC04A2"/>
    <w:rsid w:val="26B6199A"/>
    <w:rsid w:val="26B6759D"/>
    <w:rsid w:val="26B96F68"/>
    <w:rsid w:val="26EB3E67"/>
    <w:rsid w:val="26FA1B0F"/>
    <w:rsid w:val="270C08E4"/>
    <w:rsid w:val="27B5740E"/>
    <w:rsid w:val="27CC289A"/>
    <w:rsid w:val="280978B0"/>
    <w:rsid w:val="283B713F"/>
    <w:rsid w:val="28D9205D"/>
    <w:rsid w:val="299A22A0"/>
    <w:rsid w:val="29E97CB8"/>
    <w:rsid w:val="2B1E2AA9"/>
    <w:rsid w:val="2BA72DA3"/>
    <w:rsid w:val="2C92725E"/>
    <w:rsid w:val="2CBA4F4B"/>
    <w:rsid w:val="2CD52F0E"/>
    <w:rsid w:val="2D2839B9"/>
    <w:rsid w:val="2D2C5864"/>
    <w:rsid w:val="2D4E1564"/>
    <w:rsid w:val="2D6243AC"/>
    <w:rsid w:val="2D86071D"/>
    <w:rsid w:val="2DA55B68"/>
    <w:rsid w:val="2DE4019A"/>
    <w:rsid w:val="2E5A6230"/>
    <w:rsid w:val="2E867F2D"/>
    <w:rsid w:val="2E8C4181"/>
    <w:rsid w:val="2EB922CB"/>
    <w:rsid w:val="2F0A49B8"/>
    <w:rsid w:val="2F3F2957"/>
    <w:rsid w:val="2F5D4097"/>
    <w:rsid w:val="2F6443CD"/>
    <w:rsid w:val="2F9C6C1C"/>
    <w:rsid w:val="2FBE480E"/>
    <w:rsid w:val="2FC44E80"/>
    <w:rsid w:val="304271ED"/>
    <w:rsid w:val="30E361FA"/>
    <w:rsid w:val="3111173F"/>
    <w:rsid w:val="318A7ACD"/>
    <w:rsid w:val="319324B1"/>
    <w:rsid w:val="32034CC7"/>
    <w:rsid w:val="321C4287"/>
    <w:rsid w:val="325154C6"/>
    <w:rsid w:val="33CE1955"/>
    <w:rsid w:val="33D07853"/>
    <w:rsid w:val="33D939C5"/>
    <w:rsid w:val="340D227E"/>
    <w:rsid w:val="342966A0"/>
    <w:rsid w:val="345A4844"/>
    <w:rsid w:val="350535BC"/>
    <w:rsid w:val="35B4484A"/>
    <w:rsid w:val="360C4614"/>
    <w:rsid w:val="36672AD1"/>
    <w:rsid w:val="368D0A96"/>
    <w:rsid w:val="376879A7"/>
    <w:rsid w:val="378A34F9"/>
    <w:rsid w:val="37D248B6"/>
    <w:rsid w:val="3878107A"/>
    <w:rsid w:val="389B369E"/>
    <w:rsid w:val="39602492"/>
    <w:rsid w:val="39754C70"/>
    <w:rsid w:val="3AA26B60"/>
    <w:rsid w:val="3AA36F2A"/>
    <w:rsid w:val="3AF26E11"/>
    <w:rsid w:val="3B60677A"/>
    <w:rsid w:val="3B710987"/>
    <w:rsid w:val="3B9F54F4"/>
    <w:rsid w:val="3C5A3D43"/>
    <w:rsid w:val="3CCA4600"/>
    <w:rsid w:val="3CE270F9"/>
    <w:rsid w:val="40AB6865"/>
    <w:rsid w:val="40C771EF"/>
    <w:rsid w:val="41746AB9"/>
    <w:rsid w:val="42302661"/>
    <w:rsid w:val="42A87384"/>
    <w:rsid w:val="43260DE4"/>
    <w:rsid w:val="437E1E93"/>
    <w:rsid w:val="43860D47"/>
    <w:rsid w:val="43993A74"/>
    <w:rsid w:val="43DD4E0B"/>
    <w:rsid w:val="4407632C"/>
    <w:rsid w:val="440F353A"/>
    <w:rsid w:val="4435461B"/>
    <w:rsid w:val="4439305A"/>
    <w:rsid w:val="44C22299"/>
    <w:rsid w:val="454F79A7"/>
    <w:rsid w:val="457D6671"/>
    <w:rsid w:val="457F61F2"/>
    <w:rsid w:val="46C01F5A"/>
    <w:rsid w:val="46E1485D"/>
    <w:rsid w:val="46E464B1"/>
    <w:rsid w:val="486023A5"/>
    <w:rsid w:val="48C03F5F"/>
    <w:rsid w:val="48EC789E"/>
    <w:rsid w:val="48EE7ABB"/>
    <w:rsid w:val="48F93B68"/>
    <w:rsid w:val="4905394E"/>
    <w:rsid w:val="49B67DEC"/>
    <w:rsid w:val="4A513AA2"/>
    <w:rsid w:val="4A742241"/>
    <w:rsid w:val="4AAD1147"/>
    <w:rsid w:val="4BB57ADD"/>
    <w:rsid w:val="4BCA036B"/>
    <w:rsid w:val="4C6F4853"/>
    <w:rsid w:val="4CA11390"/>
    <w:rsid w:val="4DBD04D9"/>
    <w:rsid w:val="4EF23852"/>
    <w:rsid w:val="4FCD73AE"/>
    <w:rsid w:val="50D741A3"/>
    <w:rsid w:val="50E517A3"/>
    <w:rsid w:val="518B5EA5"/>
    <w:rsid w:val="51E101BC"/>
    <w:rsid w:val="52574CE5"/>
    <w:rsid w:val="52927709"/>
    <w:rsid w:val="5295436D"/>
    <w:rsid w:val="52B032BB"/>
    <w:rsid w:val="52B4142D"/>
    <w:rsid w:val="53060313"/>
    <w:rsid w:val="53444881"/>
    <w:rsid w:val="53AC60D2"/>
    <w:rsid w:val="54157DAD"/>
    <w:rsid w:val="54E67898"/>
    <w:rsid w:val="55173EF5"/>
    <w:rsid w:val="552705DC"/>
    <w:rsid w:val="56293499"/>
    <w:rsid w:val="5664702C"/>
    <w:rsid w:val="568528D4"/>
    <w:rsid w:val="56EA1726"/>
    <w:rsid w:val="57844563"/>
    <w:rsid w:val="57C96787"/>
    <w:rsid w:val="58366EDC"/>
    <w:rsid w:val="58D1273F"/>
    <w:rsid w:val="59A82C85"/>
    <w:rsid w:val="59B337F4"/>
    <w:rsid w:val="59DE1657"/>
    <w:rsid w:val="59F57CF4"/>
    <w:rsid w:val="5AE4292D"/>
    <w:rsid w:val="5AF65798"/>
    <w:rsid w:val="5BAF6495"/>
    <w:rsid w:val="5BD448EE"/>
    <w:rsid w:val="5CE4350B"/>
    <w:rsid w:val="5CEC5C67"/>
    <w:rsid w:val="5D88006A"/>
    <w:rsid w:val="5D902A97"/>
    <w:rsid w:val="5D9F2CDA"/>
    <w:rsid w:val="5DD35164"/>
    <w:rsid w:val="5DE84A17"/>
    <w:rsid w:val="5EFA2E4C"/>
    <w:rsid w:val="5F3C602D"/>
    <w:rsid w:val="5F846BFA"/>
    <w:rsid w:val="5FE6022E"/>
    <w:rsid w:val="60B3790D"/>
    <w:rsid w:val="61233BB7"/>
    <w:rsid w:val="623D26D8"/>
    <w:rsid w:val="63822E81"/>
    <w:rsid w:val="639130C5"/>
    <w:rsid w:val="63DE5207"/>
    <w:rsid w:val="63F518A5"/>
    <w:rsid w:val="64836EB1"/>
    <w:rsid w:val="649015CE"/>
    <w:rsid w:val="64C86AAE"/>
    <w:rsid w:val="654F5187"/>
    <w:rsid w:val="656A3DBC"/>
    <w:rsid w:val="65716E00"/>
    <w:rsid w:val="657A6506"/>
    <w:rsid w:val="66E25B59"/>
    <w:rsid w:val="67337DA8"/>
    <w:rsid w:val="67543564"/>
    <w:rsid w:val="67957C0C"/>
    <w:rsid w:val="67FF7197"/>
    <w:rsid w:val="685002C6"/>
    <w:rsid w:val="68CA6815"/>
    <w:rsid w:val="6A230D95"/>
    <w:rsid w:val="6A6031D5"/>
    <w:rsid w:val="6A674B7F"/>
    <w:rsid w:val="6A914238"/>
    <w:rsid w:val="6AB02381"/>
    <w:rsid w:val="6B067924"/>
    <w:rsid w:val="6B512465"/>
    <w:rsid w:val="6C1825D5"/>
    <w:rsid w:val="6C7C718C"/>
    <w:rsid w:val="6CB346CB"/>
    <w:rsid w:val="6CE800A5"/>
    <w:rsid w:val="6D1A412B"/>
    <w:rsid w:val="6D4F2026"/>
    <w:rsid w:val="6D68758C"/>
    <w:rsid w:val="6E5F44EB"/>
    <w:rsid w:val="6EEE1142"/>
    <w:rsid w:val="708B7819"/>
    <w:rsid w:val="70CA3E6A"/>
    <w:rsid w:val="710648D6"/>
    <w:rsid w:val="71E83C21"/>
    <w:rsid w:val="724F1F38"/>
    <w:rsid w:val="72A24625"/>
    <w:rsid w:val="743A75C6"/>
    <w:rsid w:val="74786307"/>
    <w:rsid w:val="74957B32"/>
    <w:rsid w:val="74D80A36"/>
    <w:rsid w:val="7534630A"/>
    <w:rsid w:val="75657150"/>
    <w:rsid w:val="75836366"/>
    <w:rsid w:val="75A61DBB"/>
    <w:rsid w:val="7608033F"/>
    <w:rsid w:val="76540992"/>
    <w:rsid w:val="76872831"/>
    <w:rsid w:val="769767EC"/>
    <w:rsid w:val="782B7685"/>
    <w:rsid w:val="784819B2"/>
    <w:rsid w:val="78686CA8"/>
    <w:rsid w:val="789722C1"/>
    <w:rsid w:val="78E71CAD"/>
    <w:rsid w:val="79A100AE"/>
    <w:rsid w:val="79BF22D0"/>
    <w:rsid w:val="79FB0A8A"/>
    <w:rsid w:val="7ABE225C"/>
    <w:rsid w:val="7AEA338E"/>
    <w:rsid w:val="7B3B56A9"/>
    <w:rsid w:val="7CE65DD7"/>
    <w:rsid w:val="7D230DDA"/>
    <w:rsid w:val="7D536194"/>
    <w:rsid w:val="7D8253F9"/>
    <w:rsid w:val="7E1C72B6"/>
    <w:rsid w:val="7E2F65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rPr>
  </w:style>
  <w:style w:type="paragraph" w:styleId="4">
    <w:name w:val="heading 4"/>
    <w:basedOn w:val="1"/>
    <w:next w:val="1"/>
    <w:semiHidden/>
    <w:unhideWhenUsed/>
    <w:qFormat/>
    <w:uiPriority w:val="9"/>
    <w:pPr>
      <w:keepNext/>
      <w:keepLines/>
      <w:spacing w:before="80" w:after="40"/>
      <w:outlineLvl w:val="3"/>
    </w:pPr>
    <w:rPr>
      <w:color w:val="0F4760"/>
      <w:sz w:val="28"/>
      <w:szCs w:val="28"/>
    </w:rPr>
  </w:style>
  <w:style w:type="character" w:default="1" w:styleId="18">
    <w:name w:val="Default Paragraph Font"/>
    <w:semiHidden/>
    <w:qFormat/>
    <w:uiPriority w:val="0"/>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0"/>
    <w:pPr>
      <w:ind w:left="-216" w:leftChars="-104" w:right="2" w:rightChars="1" w:hanging="2"/>
      <w:jc w:val="center"/>
    </w:pPr>
    <w:rPr>
      <w:rFonts w:ascii="楷体_GB2312" w:eastAsia="楷体_GB2312"/>
      <w:sz w:val="24"/>
      <w:szCs w:val="24"/>
    </w:rPr>
  </w:style>
  <w:style w:type="paragraph" w:styleId="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6">
    <w:name w:val="annotation text"/>
    <w:basedOn w:val="1"/>
    <w:unhideWhenUsed/>
    <w:qFormat/>
    <w:uiPriority w:val="0"/>
    <w:pPr>
      <w:jc w:val="left"/>
    </w:pPr>
  </w:style>
  <w:style w:type="paragraph" w:styleId="7">
    <w:name w:val="Body Text"/>
    <w:basedOn w:val="1"/>
    <w:next w:val="1"/>
    <w:qFormat/>
    <w:uiPriority w:val="0"/>
    <w:rPr>
      <w:rFonts w:ascii="楷体_GB2312" w:hAnsi="Arial" w:eastAsia="楷体_GB2312" w:cs="Times New Roman"/>
      <w:sz w:val="28"/>
      <w:szCs w:val="28"/>
    </w:rPr>
  </w:style>
  <w:style w:type="paragraph" w:styleId="8">
    <w:name w:val="Body Text Indent"/>
    <w:basedOn w:val="1"/>
    <w:next w:val="9"/>
    <w:unhideWhenUsed/>
    <w:qFormat/>
    <w:uiPriority w:val="0"/>
    <w:pPr>
      <w:spacing w:after="120"/>
      <w:ind w:left="420" w:leftChars="200"/>
    </w:pPr>
  </w:style>
  <w:style w:type="paragraph" w:styleId="9">
    <w:name w:val="envelope return"/>
    <w:basedOn w:val="1"/>
    <w:unhideWhenUsed/>
    <w:qFormat/>
    <w:uiPriority w:val="99"/>
    <w:rPr>
      <w:rFonts w:ascii="Arial" w:hAnsi="Arial" w:eastAsia="楷体_GB2312"/>
      <w:sz w:val="26"/>
      <w:szCs w:val="20"/>
    </w:rPr>
  </w:style>
  <w:style w:type="paragraph" w:styleId="10">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1">
    <w:name w:val="header"/>
    <w:basedOn w:val="1"/>
    <w:next w:val="5"/>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2">
    <w:name w:val="toc 1"/>
    <w:basedOn w:val="1"/>
    <w:next w:val="1"/>
    <w:qFormat/>
    <w:uiPriority w:val="0"/>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1"/>
    <w:qFormat/>
    <w:uiPriority w:val="0"/>
    <w:pPr>
      <w:spacing w:line="360" w:lineRule="auto"/>
      <w:ind w:firstLine="200" w:firstLineChars="200"/>
    </w:pPr>
    <w:rPr>
      <w:rFonts w:ascii="仿宋_GB2312" w:hAnsi="Calibri" w:eastAsia="仿宋_GB2312"/>
      <w:kern w:val="0"/>
      <w:sz w:val="30"/>
      <w:szCs w:val="30"/>
    </w:rPr>
  </w:style>
  <w:style w:type="paragraph" w:styleId="15">
    <w:name w:val="Body Text First Indent 2"/>
    <w:basedOn w:val="8"/>
    <w:next w:val="1"/>
    <w:qFormat/>
    <w:uiPriority w:val="0"/>
    <w:pPr>
      <w:spacing w:after="0" w:line="360" w:lineRule="auto"/>
      <w:ind w:left="0" w:leftChars="0" w:firstLine="420" w:firstLineChars="200"/>
    </w:pPr>
    <w:rPr>
      <w:rFonts w:ascii="宋体" w:hAnsi="宋体" w:eastAsia="宋体" w:cs="Times New Roman"/>
      <w:szCs w:val="20"/>
    </w:rPr>
  </w:style>
  <w:style w:type="table" w:styleId="17">
    <w:name w:val="Table Grid"/>
    <w:basedOn w:val="1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qFormat/>
    <w:uiPriority w:val="0"/>
  </w:style>
  <w:style w:type="paragraph" w:customStyle="1" w:styleId="20">
    <w:name w:val="正文（缩进）"/>
    <w:basedOn w:val="1"/>
    <w:qFormat/>
    <w:uiPriority w:val="0"/>
    <w:pPr>
      <w:spacing w:before="156" w:beforeLines="0" w:after="156" w:afterLines="0"/>
      <w:ind w:firstLine="480" w:firstLineChars="200"/>
    </w:pPr>
  </w:style>
  <w:style w:type="paragraph" w:customStyle="1" w:styleId="21">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2">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23">
    <w:name w:val="WPSOffice手动目录 1"/>
    <w:qFormat/>
    <w:uiPriority w:val="0"/>
    <w:pPr>
      <w:ind w:leftChars="0"/>
    </w:pPr>
    <w:rPr>
      <w:rFonts w:ascii="Times New Roman" w:hAnsi="Times New Roman" w:eastAsia="宋体" w:cs="Times New Roman"/>
      <w:sz w:val="20"/>
      <w:szCs w:val="20"/>
      <w:lang w:val="en-US" w:eastAsia="zh-CN" w:bidi="ar-SA"/>
    </w:rPr>
  </w:style>
  <w:style w:type="paragraph" w:customStyle="1" w:styleId="24">
    <w:name w:val="正文首行缩进11"/>
    <w:basedOn w:val="25"/>
    <w:qFormat/>
    <w:uiPriority w:val="0"/>
    <w:pPr>
      <w:spacing w:line="360" w:lineRule="auto"/>
      <w:ind w:firstLine="200"/>
    </w:pPr>
    <w:rPr>
      <w:rFonts w:ascii="仿宋_GB2312" w:eastAsia="仿宋_GB2312"/>
      <w:sz w:val="30"/>
      <w:szCs w:val="30"/>
    </w:rPr>
  </w:style>
  <w:style w:type="paragraph" w:customStyle="1" w:styleId="25">
    <w:name w:val="正文文本1"/>
    <w:basedOn w:val="1"/>
    <w:next w:val="1"/>
    <w:qFormat/>
    <w:uiPriority w:val="0"/>
    <w:rPr>
      <w:rFonts w:ascii="楷体_GB2312" w:hAnsi="Arial" w:eastAsia="楷体_GB2312"/>
      <w:sz w:val="28"/>
      <w:szCs w:val="28"/>
    </w:rPr>
  </w:style>
  <w:style w:type="paragraph" w:customStyle="1" w:styleId="26">
    <w:name w:val="正文首行缩进1"/>
    <w:basedOn w:val="27"/>
    <w:qFormat/>
    <w:uiPriority w:val="0"/>
    <w:pPr>
      <w:spacing w:after="120"/>
      <w:ind w:firstLine="420"/>
    </w:pPr>
    <w:rPr>
      <w:rFonts w:ascii="Times New Roman" w:eastAsia="宋体"/>
      <w:szCs w:val="24"/>
    </w:rPr>
  </w:style>
  <w:style w:type="paragraph" w:customStyle="1" w:styleId="27">
    <w:name w:val="正文文本11"/>
    <w:basedOn w:val="1"/>
    <w:next w:val="1"/>
    <w:qFormat/>
    <w:uiPriority w:val="0"/>
    <w:rPr>
      <w:rFonts w:ascii="楷体_GB2312" w:hAnsi="Arial" w:eastAsia="楷体_GB2312"/>
      <w:sz w:val="28"/>
      <w:szCs w:val="28"/>
    </w:rPr>
  </w:style>
  <w:style w:type="paragraph" w:customStyle="1" w:styleId="28">
    <w:name w:val="List Paragraph"/>
    <w:basedOn w:val="1"/>
    <w:qFormat/>
    <w:uiPriority w:val="34"/>
    <w:pPr>
      <w:ind w:left="720"/>
      <w:contextualSpacing/>
    </w:pPr>
  </w:style>
  <w:style w:type="paragraph" w:customStyle="1" w:styleId="29">
    <w:name w:val="Table Paragraph"/>
    <w:basedOn w:val="1"/>
    <w:qFormat/>
    <w:uiPriority w:val="1"/>
    <w:rPr>
      <w:rFonts w:ascii="仿宋" w:hAnsi="仿宋" w:eastAsia="仿宋" w:cs="仿宋"/>
      <w:lang w:val="zh-CN" w:eastAsia="zh-CN" w:bidi="zh-CN"/>
    </w:rPr>
  </w:style>
  <w:style w:type="paragraph" w:customStyle="1" w:styleId="30">
    <w:name w:val="列出段落111"/>
    <w:basedOn w:val="1"/>
    <w:qFormat/>
    <w:uiPriority w:val="0"/>
    <w:pPr>
      <w:ind w:firstLine="420"/>
    </w:pPr>
    <w:rPr>
      <w:rFonts w:ascii="Calibri" w:hAnsi="Calibri"/>
    </w:rPr>
  </w:style>
  <w:style w:type="character" w:customStyle="1" w:styleId="31">
    <w:name w:val="UserStyle_1"/>
    <w:qFormat/>
    <w:uiPriority w:val="0"/>
  </w:style>
  <w:style w:type="paragraph" w:customStyle="1" w:styleId="32">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3519</Words>
  <Characters>3883</Characters>
  <Lines>0</Lines>
  <Paragraphs>0</Paragraphs>
  <TotalTime>11</TotalTime>
  <ScaleCrop>false</ScaleCrop>
  <LinksUpToDate>false</LinksUpToDate>
  <CharactersWithSpaces>4045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高冬梅</cp:lastModifiedBy>
  <cp:lastPrinted>2025-11-17T08:51:00Z</cp:lastPrinted>
  <dcterms:modified xsi:type="dcterms:W3CDTF">2025-12-05T02:10:01Z</dcterms:modified>
  <dc:title>竞争性磋商文件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4568D24D2F4048FF93D2B9C464BB7AA8_13</vt:lpwstr>
  </property>
  <property fmtid="{D5CDD505-2E9C-101B-9397-08002B2CF9AE}" pid="4" name="KSOTemplateDocerSaveRecord">
    <vt:lpwstr>eyJoZGlkIjoiNWM4ZTg0ZTFhZmJlY2Q4NDBhNjk5YzhhN2Q0NDYxYmYiLCJ1c2VySWQiOiIxNjI1NDY4ODgyIn0=</vt:lpwstr>
  </property>
</Properties>
</file>